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14:paraId="6C9EAB38" w14:textId="77777777">
        <w:tc>
          <w:tcPr>
            <w:tcW w:w="9638" w:type="dxa"/>
            <w:gridSpan w:val="5"/>
            <w:tcBorders>
              <w:bottom w:val="single" w:sz="4" w:space="0" w:color="000000"/>
            </w:tcBorders>
          </w:tcPr>
          <w:p w14:paraId="1470E768" w14:textId="77777777" w:rsidR="00796197" w:rsidRDefault="001A0121">
            <w:pPr>
              <w:pStyle w:val="TableContents"/>
              <w:jc w:val="center"/>
              <w:rPr>
                <w:b/>
                <w:bCs/>
                <w:spacing w:val="20"/>
                <w:sz w:val="28"/>
                <w:szCs w:val="28"/>
              </w:rPr>
            </w:pPr>
            <w:r w:rsidRPr="00C4121E">
              <w:rPr>
                <w:b/>
                <w:noProof/>
                <w:spacing w:val="20"/>
                <w:sz w:val="26"/>
                <w:szCs w:val="26"/>
                <w:lang w:val="en-GB" w:eastAsia="en-GB" w:bidi="ar-SA"/>
              </w:rPr>
              <w:drawing>
                <wp:inline distT="0" distB="0" distL="0" distR="0" wp14:anchorId="6B93B4AC" wp14:editId="1C8726A5">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4A6A359B" w14:textId="77777777" w:rsidR="00796197" w:rsidRDefault="00796197">
            <w:pPr>
              <w:pStyle w:val="TableContents"/>
              <w:spacing w:before="113" w:after="113"/>
              <w:jc w:val="center"/>
              <w:rPr>
                <w:b/>
                <w:bCs/>
                <w:spacing w:val="20"/>
                <w:sz w:val="28"/>
                <w:szCs w:val="28"/>
              </w:rPr>
            </w:pPr>
            <w:bookmarkStart w:id="0" w:name="DDE_LINK"/>
            <w:r>
              <w:rPr>
                <w:b/>
                <w:bCs/>
                <w:spacing w:val="20"/>
                <w:sz w:val="28"/>
                <w:szCs w:val="28"/>
              </w:rPr>
              <w:t>LIETUVOS RESPUBLIKOS APLINKOS MINISTERIJA</w:t>
            </w:r>
          </w:p>
          <w:p w14:paraId="67975752" w14:textId="77777777" w:rsidR="00796197" w:rsidRDefault="00205479">
            <w:pPr>
              <w:pStyle w:val="TableContents"/>
              <w:jc w:val="center"/>
              <w:rPr>
                <w:rFonts w:ascii="Arial" w:hAnsi="Arial"/>
                <w:b/>
                <w:bCs/>
                <w:spacing w:val="12"/>
                <w:sz w:val="14"/>
                <w:szCs w:val="14"/>
              </w:rPr>
            </w:pPr>
            <w:r>
              <w:rPr>
                <w:rFonts w:ascii="Arial" w:hAnsi="Arial"/>
                <w:b/>
                <w:bCs/>
                <w:spacing w:val="12"/>
                <w:sz w:val="14"/>
                <w:szCs w:val="14"/>
              </w:rPr>
              <w:t>B</w:t>
            </w:r>
            <w:r w:rsidR="00796197">
              <w:rPr>
                <w:rFonts w:ascii="Arial" w:hAnsi="Arial"/>
                <w:b/>
                <w:bCs/>
                <w:spacing w:val="12"/>
                <w:sz w:val="14"/>
                <w:szCs w:val="14"/>
              </w:rPr>
              <w:t>iud</w:t>
            </w:r>
            <w:r w:rsidR="00342850">
              <w:rPr>
                <w:rFonts w:ascii="Arial" w:hAnsi="Arial"/>
                <w:b/>
                <w:bCs/>
                <w:spacing w:val="12"/>
                <w:sz w:val="14"/>
                <w:szCs w:val="14"/>
              </w:rPr>
              <w:t>žetinė įstaiga, A. Jakšto g. 4</w:t>
            </w:r>
            <w:r w:rsidR="00796197">
              <w:rPr>
                <w:rFonts w:ascii="Arial" w:hAnsi="Arial"/>
                <w:b/>
                <w:bCs/>
                <w:spacing w:val="12"/>
                <w:sz w:val="14"/>
                <w:szCs w:val="14"/>
              </w:rPr>
              <w:t>, LT-01105 Vilnius,</w:t>
            </w:r>
          </w:p>
          <w:p w14:paraId="33FDC0BA" w14:textId="77777777" w:rsidR="00796197" w:rsidRDefault="00E33BE9">
            <w:pPr>
              <w:pStyle w:val="TableContents"/>
              <w:jc w:val="center"/>
              <w:rPr>
                <w:rFonts w:ascii="Arial" w:hAnsi="Arial"/>
                <w:b/>
                <w:bCs/>
                <w:spacing w:val="12"/>
                <w:sz w:val="14"/>
                <w:szCs w:val="14"/>
              </w:rPr>
            </w:pPr>
            <w:r>
              <w:rPr>
                <w:rFonts w:ascii="Arial" w:hAnsi="Arial"/>
                <w:b/>
                <w:bCs/>
                <w:spacing w:val="12"/>
                <w:sz w:val="14"/>
                <w:szCs w:val="14"/>
              </w:rPr>
              <w:t>tel</w:t>
            </w:r>
            <w:r w:rsidR="007E464C">
              <w:rPr>
                <w:rFonts w:ascii="Arial" w:hAnsi="Arial"/>
                <w:b/>
                <w:bCs/>
                <w:spacing w:val="12"/>
                <w:sz w:val="14"/>
                <w:szCs w:val="14"/>
              </w:rPr>
              <w:t>.</w:t>
            </w:r>
            <w:r w:rsidR="009E794B">
              <w:rPr>
                <w:rFonts w:ascii="Arial" w:hAnsi="Arial"/>
                <w:b/>
                <w:bCs/>
                <w:spacing w:val="12"/>
                <w:sz w:val="14"/>
                <w:szCs w:val="14"/>
              </w:rPr>
              <w:t xml:space="preserve"> </w:t>
            </w:r>
            <w:r w:rsidR="00CF38A6" w:rsidRPr="005D2915">
              <w:rPr>
                <w:rFonts w:ascii="Arial" w:hAnsi="Arial"/>
                <w:b/>
                <w:bCs/>
                <w:spacing w:val="12"/>
                <w:sz w:val="14"/>
                <w:szCs w:val="14"/>
                <w:lang w:val="en-GB"/>
              </w:rPr>
              <w:t>8 </w:t>
            </w:r>
            <w:r w:rsidR="009E794B" w:rsidRPr="009E794B">
              <w:rPr>
                <w:rFonts w:ascii="Arial" w:hAnsi="Arial"/>
                <w:b/>
                <w:bCs/>
                <w:spacing w:val="12"/>
                <w:sz w:val="14"/>
                <w:szCs w:val="14"/>
              </w:rPr>
              <w:t>626</w:t>
            </w:r>
            <w:r w:rsidR="00CF38A6" w:rsidRPr="005D2915">
              <w:rPr>
                <w:rFonts w:ascii="Arial" w:hAnsi="Arial"/>
                <w:b/>
                <w:bCs/>
                <w:spacing w:val="12"/>
                <w:sz w:val="14"/>
                <w:szCs w:val="14"/>
                <w:lang w:val="en-GB"/>
              </w:rPr>
              <w:t xml:space="preserve"> </w:t>
            </w:r>
            <w:r w:rsidR="009E794B" w:rsidRPr="009E794B">
              <w:rPr>
                <w:rFonts w:ascii="Arial" w:hAnsi="Arial"/>
                <w:b/>
                <w:bCs/>
                <w:spacing w:val="12"/>
                <w:sz w:val="14"/>
                <w:szCs w:val="14"/>
              </w:rPr>
              <w:t>22</w:t>
            </w:r>
            <w:r w:rsidR="0021616F">
              <w:rPr>
                <w:rFonts w:ascii="Arial" w:hAnsi="Arial"/>
                <w:b/>
                <w:bCs/>
                <w:spacing w:val="12"/>
                <w:sz w:val="14"/>
                <w:szCs w:val="14"/>
              </w:rPr>
              <w:t xml:space="preserve"> </w:t>
            </w:r>
            <w:r w:rsidR="009E794B" w:rsidRPr="009E794B">
              <w:rPr>
                <w:rFonts w:ascii="Arial" w:hAnsi="Arial"/>
                <w:b/>
                <w:bCs/>
                <w:spacing w:val="12"/>
                <w:sz w:val="14"/>
                <w:szCs w:val="14"/>
              </w:rPr>
              <w:t>252</w:t>
            </w:r>
            <w:r w:rsidR="009E794B">
              <w:rPr>
                <w:rFonts w:ascii="Arial" w:hAnsi="Arial"/>
                <w:b/>
                <w:bCs/>
                <w:spacing w:val="12"/>
                <w:sz w:val="14"/>
                <w:szCs w:val="14"/>
              </w:rPr>
              <w:t xml:space="preserve">, </w:t>
            </w:r>
            <w:r w:rsidR="003728E1">
              <w:rPr>
                <w:rFonts w:ascii="Arial" w:hAnsi="Arial"/>
                <w:b/>
                <w:bCs/>
                <w:spacing w:val="12"/>
                <w:sz w:val="14"/>
                <w:szCs w:val="14"/>
              </w:rPr>
              <w:t xml:space="preserve">el. p. </w:t>
            </w:r>
            <w:proofErr w:type="spellStart"/>
            <w:r w:rsidR="003728E1">
              <w:rPr>
                <w:rFonts w:ascii="Arial" w:hAnsi="Arial"/>
                <w:b/>
                <w:bCs/>
                <w:spacing w:val="12"/>
                <w:sz w:val="14"/>
                <w:szCs w:val="14"/>
              </w:rPr>
              <w:t>info@am.lt</w:t>
            </w:r>
            <w:proofErr w:type="spellEnd"/>
            <w:r w:rsidR="003728E1">
              <w:rPr>
                <w:rFonts w:ascii="Arial" w:hAnsi="Arial"/>
                <w:b/>
                <w:bCs/>
                <w:spacing w:val="12"/>
                <w:sz w:val="14"/>
                <w:szCs w:val="14"/>
              </w:rPr>
              <w:t>, http</w:t>
            </w:r>
            <w:r w:rsidR="00E81E92">
              <w:rPr>
                <w:rFonts w:ascii="Arial" w:hAnsi="Arial"/>
                <w:b/>
                <w:bCs/>
                <w:spacing w:val="12"/>
                <w:sz w:val="14"/>
                <w:szCs w:val="14"/>
              </w:rPr>
              <w:t>s</w:t>
            </w:r>
            <w:r w:rsidR="003728E1">
              <w:rPr>
                <w:rFonts w:ascii="Arial" w:hAnsi="Arial"/>
                <w:b/>
                <w:bCs/>
                <w:spacing w:val="12"/>
                <w:sz w:val="14"/>
                <w:szCs w:val="14"/>
              </w:rPr>
              <w:t>://</w:t>
            </w:r>
            <w:r w:rsidR="00796197">
              <w:rPr>
                <w:rFonts w:ascii="Arial" w:hAnsi="Arial"/>
                <w:b/>
                <w:bCs/>
                <w:spacing w:val="12"/>
                <w:sz w:val="14"/>
                <w:szCs w:val="14"/>
              </w:rPr>
              <w:t>am.</w:t>
            </w:r>
            <w:r w:rsidR="003728E1">
              <w:rPr>
                <w:rFonts w:ascii="Arial" w:hAnsi="Arial"/>
                <w:b/>
                <w:bCs/>
                <w:spacing w:val="12"/>
                <w:sz w:val="14"/>
                <w:szCs w:val="14"/>
              </w:rPr>
              <w:t>lrv.</w:t>
            </w:r>
            <w:r w:rsidR="00796197">
              <w:rPr>
                <w:rFonts w:ascii="Arial" w:hAnsi="Arial"/>
                <w:b/>
                <w:bCs/>
                <w:spacing w:val="12"/>
                <w:sz w:val="14"/>
                <w:szCs w:val="14"/>
              </w:rPr>
              <w:t>lt.</w:t>
            </w:r>
          </w:p>
          <w:p w14:paraId="28D7748A" w14:textId="77777777" w:rsidR="00796197" w:rsidRDefault="00796197">
            <w:pPr>
              <w:pStyle w:val="TableContents"/>
              <w:jc w:val="center"/>
              <w:rPr>
                <w:rFonts w:ascii="Arial" w:hAnsi="Arial"/>
                <w:b/>
                <w:bCs/>
                <w:spacing w:val="12"/>
                <w:sz w:val="14"/>
                <w:szCs w:val="14"/>
              </w:rPr>
            </w:pPr>
            <w:r>
              <w:rPr>
                <w:rFonts w:ascii="Arial" w:hAnsi="Arial"/>
                <w:b/>
                <w:bCs/>
                <w:spacing w:val="12"/>
                <w:sz w:val="14"/>
                <w:szCs w:val="14"/>
              </w:rPr>
              <w:t>Duomenys kaupiami ir saugomi Juridinių asmenų registre,</w:t>
            </w:r>
            <w:bookmarkEnd w:id="0"/>
            <w:r>
              <w:rPr>
                <w:rFonts w:ascii="Arial" w:hAnsi="Arial"/>
                <w:b/>
                <w:bCs/>
                <w:spacing w:val="12"/>
                <w:sz w:val="14"/>
                <w:szCs w:val="14"/>
              </w:rPr>
              <w:t xml:space="preserve"> kodas 188602370</w:t>
            </w:r>
          </w:p>
        </w:tc>
      </w:tr>
      <w:tr w:rsidR="00796197" w14:paraId="20674579" w14:textId="77777777">
        <w:tc>
          <w:tcPr>
            <w:tcW w:w="9638" w:type="dxa"/>
            <w:gridSpan w:val="5"/>
            <w:tcMar>
              <w:top w:w="0" w:type="dxa"/>
              <w:left w:w="0" w:type="dxa"/>
              <w:bottom w:w="0" w:type="dxa"/>
              <w:right w:w="0" w:type="dxa"/>
            </w:tcMar>
          </w:tcPr>
          <w:p w14:paraId="1E1B826D" w14:textId="77777777" w:rsidR="00796197" w:rsidRDefault="00796197">
            <w:pPr>
              <w:pStyle w:val="TableContents"/>
            </w:pPr>
          </w:p>
        </w:tc>
      </w:tr>
      <w:tr w:rsidR="00796197" w14:paraId="36E7EC2B" w14:textId="77777777">
        <w:trPr>
          <w:cantSplit/>
          <w:trHeight w:val="340"/>
        </w:trPr>
        <w:tc>
          <w:tcPr>
            <w:tcW w:w="4817" w:type="dxa"/>
            <w:vMerge w:val="restart"/>
            <w:tcMar>
              <w:top w:w="0" w:type="dxa"/>
              <w:left w:w="0" w:type="dxa"/>
              <w:bottom w:w="0" w:type="dxa"/>
              <w:right w:w="0" w:type="dxa"/>
            </w:tcMar>
          </w:tcPr>
          <w:p w14:paraId="55796F9D" w14:textId="77777777" w:rsidR="00F376A9" w:rsidRDefault="00F376A9" w:rsidP="00173BFB">
            <w:pPr>
              <w:pStyle w:val="paragraph"/>
              <w:spacing w:before="0" w:beforeAutospacing="0" w:after="0" w:afterAutospacing="0"/>
              <w:textAlignment w:val="baseline"/>
              <w:rPr>
                <w:rStyle w:val="normaltextrun"/>
              </w:rPr>
            </w:pPr>
            <w:r>
              <w:rPr>
                <w:rStyle w:val="normaltextrun"/>
              </w:rPr>
              <w:t>Specialiųjų tyrimų tarnybai</w:t>
            </w:r>
          </w:p>
          <w:p w14:paraId="70F3756D" w14:textId="77777777" w:rsidR="00F376A9" w:rsidRDefault="00F376A9" w:rsidP="00173BFB">
            <w:pPr>
              <w:pStyle w:val="paragraph"/>
              <w:spacing w:before="0" w:beforeAutospacing="0" w:after="0" w:afterAutospacing="0"/>
              <w:textAlignment w:val="baseline"/>
              <w:rPr>
                <w:rStyle w:val="normaltextrun"/>
              </w:rPr>
            </w:pPr>
          </w:p>
          <w:p w14:paraId="3ACB6976" w14:textId="77777777" w:rsidR="00796197" w:rsidRDefault="00796197" w:rsidP="00585B04">
            <w:pPr>
              <w:pStyle w:val="TableContents"/>
              <w:rPr>
                <w:spacing w:val="10"/>
                <w:lang w:val="en-GB"/>
              </w:rPr>
            </w:pPr>
          </w:p>
          <w:p w14:paraId="071FBDDA" w14:textId="77777777" w:rsidR="00262424" w:rsidRDefault="00262424" w:rsidP="00585B04">
            <w:pPr>
              <w:pStyle w:val="TableContents"/>
              <w:rPr>
                <w:spacing w:val="10"/>
                <w:lang w:val="en-GB"/>
              </w:rPr>
            </w:pPr>
          </w:p>
          <w:p w14:paraId="23ED59C7" w14:textId="77777777" w:rsidR="00262424" w:rsidRDefault="00262424" w:rsidP="00585B04">
            <w:pPr>
              <w:pStyle w:val="TableContents"/>
              <w:rPr>
                <w:spacing w:val="10"/>
                <w:lang w:val="en-GB"/>
              </w:rPr>
            </w:pPr>
          </w:p>
          <w:p w14:paraId="3E88F47C" w14:textId="77777777" w:rsidR="00262424" w:rsidRPr="00F376A9" w:rsidRDefault="00262424" w:rsidP="00585B04">
            <w:pPr>
              <w:pStyle w:val="TableContents"/>
              <w:rPr>
                <w:spacing w:val="10"/>
                <w:lang w:val="en-GB"/>
              </w:rPr>
            </w:pPr>
          </w:p>
          <w:p w14:paraId="2899A205" w14:textId="77777777" w:rsidR="00585B04" w:rsidRDefault="00585B04" w:rsidP="00585B04">
            <w:pPr>
              <w:pStyle w:val="TableContents"/>
              <w:rPr>
                <w:spacing w:val="10"/>
              </w:rPr>
            </w:pPr>
          </w:p>
        </w:tc>
        <w:tc>
          <w:tcPr>
            <w:tcW w:w="282" w:type="dxa"/>
            <w:tcMar>
              <w:top w:w="0" w:type="dxa"/>
              <w:left w:w="0" w:type="dxa"/>
              <w:bottom w:w="0" w:type="dxa"/>
              <w:right w:w="0" w:type="dxa"/>
            </w:tcMar>
          </w:tcPr>
          <w:p w14:paraId="28E95E9A" w14:textId="77777777" w:rsidR="00796197" w:rsidRDefault="00796197">
            <w:pPr>
              <w:ind w:right="67"/>
              <w:jc w:val="right"/>
              <w:rPr>
                <w:spacing w:val="10"/>
              </w:rPr>
            </w:pPr>
          </w:p>
        </w:tc>
        <w:tc>
          <w:tcPr>
            <w:tcW w:w="1841" w:type="dxa"/>
            <w:tcMar>
              <w:top w:w="0" w:type="dxa"/>
              <w:left w:w="0" w:type="dxa"/>
              <w:bottom w:w="0" w:type="dxa"/>
              <w:right w:w="0" w:type="dxa"/>
            </w:tcMar>
          </w:tcPr>
          <w:p w14:paraId="1BDF0A0C" w14:textId="4DF76CF2" w:rsidR="00796197" w:rsidRPr="0073469A" w:rsidRDefault="00F376A9">
            <w:pPr>
              <w:pStyle w:val="TableContents"/>
              <w:ind w:right="67"/>
              <w:rPr>
                <w:lang w:val="en-GB"/>
              </w:rPr>
            </w:pPr>
            <w:r>
              <w:t>2024-</w:t>
            </w:r>
            <w:r w:rsidR="00A054B4">
              <w:t>0</w:t>
            </w:r>
            <w:r w:rsidR="0073469A">
              <w:rPr>
                <w:lang w:val="en-GB"/>
              </w:rPr>
              <w:t>2-27</w:t>
            </w:r>
          </w:p>
        </w:tc>
        <w:tc>
          <w:tcPr>
            <w:tcW w:w="565" w:type="dxa"/>
          </w:tcPr>
          <w:p w14:paraId="56912881" w14:textId="77777777" w:rsidR="00796197" w:rsidRDefault="00796197">
            <w:pPr>
              <w:ind w:right="67"/>
              <w:jc w:val="right"/>
              <w:rPr>
                <w:spacing w:val="10"/>
              </w:rPr>
            </w:pPr>
            <w:r>
              <w:rPr>
                <w:spacing w:val="10"/>
              </w:rPr>
              <w:t>Nr.</w:t>
            </w:r>
          </w:p>
        </w:tc>
        <w:tc>
          <w:tcPr>
            <w:tcW w:w="2133" w:type="dxa"/>
          </w:tcPr>
          <w:p w14:paraId="19CBB4E8" w14:textId="012ACDC7" w:rsidR="00796197" w:rsidRDefault="00F376A9">
            <w:pPr>
              <w:pStyle w:val="TableContents"/>
              <w:ind w:right="67"/>
            </w:pPr>
            <w:r>
              <w:t>(14)-D8(E)-</w:t>
            </w:r>
            <w:r w:rsidR="0073469A">
              <w:t>1088</w:t>
            </w:r>
          </w:p>
        </w:tc>
      </w:tr>
      <w:tr w:rsidR="00796197" w14:paraId="798F8017" w14:textId="77777777">
        <w:trPr>
          <w:cantSplit/>
          <w:trHeight w:val="340"/>
        </w:trPr>
        <w:tc>
          <w:tcPr>
            <w:tcW w:w="4817" w:type="dxa"/>
            <w:vMerge/>
            <w:tcMar>
              <w:top w:w="0" w:type="dxa"/>
              <w:left w:w="0" w:type="dxa"/>
              <w:bottom w:w="0" w:type="dxa"/>
              <w:right w:w="0" w:type="dxa"/>
            </w:tcMar>
          </w:tcPr>
          <w:p w14:paraId="7A5BF6D3" w14:textId="77777777" w:rsidR="00796197" w:rsidRDefault="00796197"/>
        </w:tc>
        <w:tc>
          <w:tcPr>
            <w:tcW w:w="282" w:type="dxa"/>
            <w:tcMar>
              <w:top w:w="0" w:type="dxa"/>
              <w:left w:w="0" w:type="dxa"/>
              <w:bottom w:w="0" w:type="dxa"/>
              <w:right w:w="0" w:type="dxa"/>
            </w:tcMar>
          </w:tcPr>
          <w:p w14:paraId="3518E840" w14:textId="77777777" w:rsidR="00796197" w:rsidRDefault="00796197">
            <w:pPr>
              <w:tabs>
                <w:tab w:val="left" w:pos="2869"/>
              </w:tabs>
              <w:ind w:right="67"/>
              <w:jc w:val="right"/>
              <w:rPr>
                <w:spacing w:val="10"/>
              </w:rPr>
            </w:pPr>
            <w:r>
              <w:rPr>
                <w:spacing w:val="10"/>
              </w:rPr>
              <w:t>Į</w:t>
            </w:r>
          </w:p>
        </w:tc>
        <w:tc>
          <w:tcPr>
            <w:tcW w:w="1841" w:type="dxa"/>
            <w:tcMar>
              <w:top w:w="0" w:type="dxa"/>
              <w:left w:w="0" w:type="dxa"/>
              <w:bottom w:w="0" w:type="dxa"/>
              <w:right w:w="0" w:type="dxa"/>
            </w:tcMar>
          </w:tcPr>
          <w:p w14:paraId="1792B2CC" w14:textId="32C27B6B" w:rsidR="00796197" w:rsidRDefault="00F376A9">
            <w:pPr>
              <w:pStyle w:val="TableContents"/>
              <w:ind w:right="67"/>
            </w:pPr>
            <w:r>
              <w:t xml:space="preserve"> 2024-02-05</w:t>
            </w:r>
          </w:p>
        </w:tc>
        <w:tc>
          <w:tcPr>
            <w:tcW w:w="565" w:type="dxa"/>
          </w:tcPr>
          <w:p w14:paraId="71E203E3" w14:textId="77777777" w:rsidR="00796197" w:rsidRDefault="00796197">
            <w:pPr>
              <w:tabs>
                <w:tab w:val="left" w:pos="2869"/>
              </w:tabs>
              <w:ind w:right="67"/>
              <w:jc w:val="right"/>
              <w:rPr>
                <w:spacing w:val="10"/>
              </w:rPr>
            </w:pPr>
            <w:r>
              <w:rPr>
                <w:spacing w:val="10"/>
              </w:rPr>
              <w:t>Nr.</w:t>
            </w:r>
          </w:p>
        </w:tc>
        <w:tc>
          <w:tcPr>
            <w:tcW w:w="2133" w:type="dxa"/>
          </w:tcPr>
          <w:p w14:paraId="06BC1C1F" w14:textId="0382A16E" w:rsidR="00796197" w:rsidRDefault="00F376A9">
            <w:pPr>
              <w:pStyle w:val="TableContents"/>
              <w:ind w:right="67"/>
            </w:pPr>
            <w:r>
              <w:t>4-01-1185</w:t>
            </w:r>
          </w:p>
        </w:tc>
      </w:tr>
      <w:tr w:rsidR="00796197" w14:paraId="4CFA0EB8" w14:textId="77777777">
        <w:trPr>
          <w:cantSplit/>
        </w:trPr>
        <w:tc>
          <w:tcPr>
            <w:tcW w:w="4817" w:type="dxa"/>
            <w:vMerge/>
            <w:tcMar>
              <w:top w:w="0" w:type="dxa"/>
              <w:left w:w="0" w:type="dxa"/>
              <w:bottom w:w="0" w:type="dxa"/>
              <w:right w:w="0" w:type="dxa"/>
            </w:tcMar>
          </w:tcPr>
          <w:p w14:paraId="1131E05A" w14:textId="77777777" w:rsidR="00796197" w:rsidRDefault="00796197"/>
        </w:tc>
        <w:tc>
          <w:tcPr>
            <w:tcW w:w="4821" w:type="dxa"/>
            <w:gridSpan w:val="4"/>
            <w:tcMar>
              <w:top w:w="0" w:type="dxa"/>
              <w:left w:w="0" w:type="dxa"/>
              <w:bottom w:w="0" w:type="dxa"/>
              <w:right w:w="0" w:type="dxa"/>
            </w:tcMar>
          </w:tcPr>
          <w:p w14:paraId="4178A90C" w14:textId="77777777" w:rsidR="00796197" w:rsidRDefault="00796197">
            <w:pPr>
              <w:tabs>
                <w:tab w:val="left" w:pos="2869"/>
              </w:tabs>
              <w:ind w:right="67"/>
              <w:rPr>
                <w:spacing w:val="10"/>
              </w:rPr>
            </w:pPr>
          </w:p>
        </w:tc>
      </w:tr>
      <w:tr w:rsidR="00796197" w14:paraId="79666FC6" w14:textId="77777777">
        <w:trPr>
          <w:trHeight w:val="340"/>
        </w:trPr>
        <w:tc>
          <w:tcPr>
            <w:tcW w:w="9638" w:type="dxa"/>
            <w:gridSpan w:val="5"/>
            <w:tcMar>
              <w:top w:w="0" w:type="dxa"/>
              <w:left w:w="0" w:type="dxa"/>
              <w:bottom w:w="0" w:type="dxa"/>
              <w:right w:w="0" w:type="dxa"/>
            </w:tcMar>
          </w:tcPr>
          <w:p w14:paraId="30138F1F" w14:textId="0FB16B98" w:rsidR="00796197" w:rsidRDefault="00F376A9" w:rsidP="00935919">
            <w:pPr>
              <w:pStyle w:val="TableContents"/>
              <w:spacing w:line="276" w:lineRule="auto"/>
              <w:rPr>
                <w:b/>
                <w:bCs/>
              </w:rPr>
            </w:pPr>
            <w:r w:rsidRPr="00F376A9">
              <w:rPr>
                <w:b/>
              </w:rPr>
              <w:t>DĖL KORUPCIJOS RIZIKOS ANALIZĖS IŠVADOJE PATEIKTŲ PASIŪLYMŲ ĮGYVENDINIMO</w:t>
            </w:r>
          </w:p>
        </w:tc>
      </w:tr>
    </w:tbl>
    <w:p w14:paraId="69DB0520" w14:textId="77777777" w:rsidR="00173BFB" w:rsidRDefault="00173BFB" w:rsidP="00935919">
      <w:pPr>
        <w:pStyle w:val="BodyText"/>
        <w:spacing w:line="276" w:lineRule="auto"/>
        <w:ind w:firstLine="0"/>
      </w:pPr>
    </w:p>
    <w:p w14:paraId="63CCC6C9" w14:textId="77777777" w:rsidR="00262424" w:rsidRDefault="00262424" w:rsidP="00935919">
      <w:pPr>
        <w:pStyle w:val="BodyText"/>
        <w:spacing w:line="276" w:lineRule="auto"/>
        <w:ind w:firstLine="0"/>
      </w:pPr>
    </w:p>
    <w:p w14:paraId="47543CD4" w14:textId="4338A332" w:rsidR="00F376A9" w:rsidRPr="00232B25" w:rsidRDefault="00F376A9" w:rsidP="00684FF9">
      <w:pPr>
        <w:ind w:firstLine="567"/>
        <w:rPr>
          <w:rFonts w:eastAsia="Times New Roman" w:cs="Times New Roman"/>
          <w:lang w:eastAsia="en-GB" w:bidi="ar-SA"/>
        </w:rPr>
      </w:pPr>
      <w:r w:rsidRPr="00232B25">
        <w:t>Aplinkos ministerija, susipažinusi su Jūsų  2024-02-05 raštu Nr. 4-01-1185 „D</w:t>
      </w:r>
      <w:r w:rsidRPr="00232B25">
        <w:rPr>
          <w:bCs/>
        </w:rPr>
        <w:t xml:space="preserve">ėl korupcijos rizikos analizės išvadoje pateiktų pasiūlymų įgyvendinimo“, teikia papildomą informaciją apie </w:t>
      </w:r>
      <w:r w:rsidRPr="00232B25">
        <w:rPr>
          <w:rFonts w:eastAsia="Times New Roman" w:cs="Times New Roman"/>
          <w:lang w:eastAsia="ar-SA" w:bidi="ar-SA"/>
        </w:rPr>
        <w:t>korupcijos rizikos analizės statybos užbaigimo procese, surašant statybos užbaigimo aktą</w:t>
      </w:r>
      <w:r w:rsidRPr="00232B25">
        <w:rPr>
          <w:rFonts w:eastAsia="Times New Roman" w:cs="Times New Roman"/>
          <w:bCs/>
          <w:lang w:eastAsia="ar-SA" w:bidi="ar-SA"/>
        </w:rPr>
        <w:t xml:space="preserve">, </w:t>
      </w:r>
      <w:r w:rsidRPr="00232B25">
        <w:rPr>
          <w:rFonts w:eastAsia="Times New Roman" w:cs="Times New Roman"/>
          <w:lang w:eastAsia="ar-SA" w:bidi="ar-SA"/>
        </w:rPr>
        <w:t>motyvuotoje išvadoje 2022 m. gruodžio 29 d. raštu Nr. 4-01-10506</w:t>
      </w:r>
      <w:r w:rsidR="00D535CD" w:rsidRPr="00232B25">
        <w:rPr>
          <w:rStyle w:val="EndnoteReference"/>
          <w:rFonts w:eastAsia="Times New Roman" w:cs="Times New Roman"/>
          <w:lang w:eastAsia="ar-SA" w:bidi="ar-SA"/>
        </w:rPr>
        <w:endnoteReference w:id="1"/>
      </w:r>
      <w:r w:rsidRPr="00232B25">
        <w:rPr>
          <w:rFonts w:eastAsia="Times New Roman" w:cs="Times New Roman"/>
          <w:lang w:eastAsia="ar-SA" w:bidi="ar-SA"/>
        </w:rPr>
        <w:t xml:space="preserve"> (toliau – KRA išvada) pateiktų pastabų įgyvendinimą.</w:t>
      </w:r>
    </w:p>
    <w:p w14:paraId="126082C1" w14:textId="61D3D8AE" w:rsidR="00796197" w:rsidRPr="00232B25" w:rsidRDefault="00F376A9" w:rsidP="00684FF9">
      <w:pPr>
        <w:pStyle w:val="BodyText"/>
        <w:rPr>
          <w:b/>
        </w:rPr>
      </w:pPr>
      <w:r w:rsidRPr="00232B25">
        <w:rPr>
          <w:b/>
        </w:rPr>
        <w:t>Dėl 1.2 papunkčio</w:t>
      </w:r>
    </w:p>
    <w:p w14:paraId="6394E52D" w14:textId="70D85911" w:rsidR="00D5268A" w:rsidRPr="00232B25" w:rsidRDefault="00F376A9" w:rsidP="00684FF9">
      <w:pPr>
        <w:pStyle w:val="BodyText"/>
        <w:rPr>
          <w:i/>
          <w:iCs/>
        </w:rPr>
      </w:pPr>
      <w:r w:rsidRPr="00232B25">
        <w:t>„</w:t>
      </w:r>
      <w:r w:rsidRPr="00232B25">
        <w:rPr>
          <w:i/>
          <w:iCs/>
        </w:rPr>
        <w:t>Reglamente nustatyti pareigą visus dokumentus, kuriais vadovaujantis sprendimus priima statybos užbaigimo komisija, įkelti į IS „</w:t>
      </w:r>
      <w:proofErr w:type="spellStart"/>
      <w:r w:rsidRPr="00232B25">
        <w:rPr>
          <w:i/>
          <w:iCs/>
        </w:rPr>
        <w:t>Infostatyba</w:t>
      </w:r>
      <w:proofErr w:type="spellEnd"/>
      <w:r w:rsidRPr="00232B25">
        <w:rPr>
          <w:i/>
          <w:iCs/>
        </w:rPr>
        <w:t>“ (išskyrus išimtis, kai to padaryti negalima dėl galimos didelės administracinės naštos), taip pat siūlytina nustatyti pareigą statytojams IS „</w:t>
      </w:r>
      <w:proofErr w:type="spellStart"/>
      <w:r w:rsidRPr="00232B25">
        <w:rPr>
          <w:i/>
          <w:iCs/>
        </w:rPr>
        <w:t>Infostatyba</w:t>
      </w:r>
      <w:proofErr w:type="spellEnd"/>
      <w:r w:rsidRPr="00232B25">
        <w:rPr>
          <w:i/>
          <w:iCs/>
        </w:rPr>
        <w:t>“ skelbti projekto ar projekto dokumentų laidas, įtvirtinti atsakomybę už jų nepateikimą, optimizuoti statybos užbaigimo komisijai teikiamų dokumentų apimtį. Taip pat siūlytina mažinti administracinę naštą, tenkančią statytojui statybos užbaigimo procedūros metu ir mažinti statybos užbaigimo procedūros metu komisijai (kartu su prašymu ir tiesiogiai) teikiamų dokumentų apimtis, sumažinti statytojo teikiamų procedūros metu pažymų skaičių.“</w:t>
      </w:r>
    </w:p>
    <w:p w14:paraId="20890292" w14:textId="528E97BA" w:rsidR="00B551D1" w:rsidRPr="00232B25" w:rsidRDefault="00B551D1" w:rsidP="00684FF9">
      <w:pPr>
        <w:pStyle w:val="BodyText"/>
      </w:pPr>
      <w:r w:rsidRPr="00232B25">
        <w:t xml:space="preserve">Pagal statybos techninio reglamento  </w:t>
      </w:r>
      <w:r w:rsidRPr="00232B25">
        <w:rPr>
          <w:color w:val="000000"/>
        </w:rPr>
        <w:t>STR 1.05.01:2017 „Statybą leidžiantys dokumentai. Statybos užbaigimas. Nebaigto statinio registravimas ir perleidimas. Statybos sustabdymas. Savavališkos statybos padarinių šalinimas. Statybos pagal neteisėtai išduotą statybą leidžiantį dokumentą padarinių šalinimas“ (toli</w:t>
      </w:r>
      <w:r w:rsidR="00176658" w:rsidRPr="00232B25">
        <w:rPr>
          <w:color w:val="000000"/>
        </w:rPr>
        <w:t xml:space="preserve">au </w:t>
      </w:r>
      <w:r w:rsidR="00F87022" w:rsidRPr="00232B25">
        <w:t>–</w:t>
      </w:r>
      <w:r w:rsidR="00176658" w:rsidRPr="00232B25">
        <w:rPr>
          <w:color w:val="000000"/>
        </w:rPr>
        <w:t xml:space="preserve"> </w:t>
      </w:r>
      <w:r w:rsidRPr="00232B25">
        <w:rPr>
          <w:color w:val="000000"/>
        </w:rPr>
        <w:t xml:space="preserve">Reglamentas)  61.2 p. su prašymu </w:t>
      </w:r>
      <w:r w:rsidR="00542551" w:rsidRPr="00232B25">
        <w:rPr>
          <w:color w:val="000000"/>
        </w:rPr>
        <w:t>gauti statybos užbaigimo aktą</w:t>
      </w:r>
      <w:r w:rsidR="0022426A" w:rsidRPr="00232B25">
        <w:rPr>
          <w:color w:val="000000"/>
        </w:rPr>
        <w:t xml:space="preserve"> </w:t>
      </w:r>
      <w:r w:rsidRPr="00232B25">
        <w:rPr>
          <w:color w:val="000000"/>
        </w:rPr>
        <w:t xml:space="preserve">bendruoju atveju </w:t>
      </w:r>
      <w:r w:rsidRPr="00232B25">
        <w:rPr>
          <w:i/>
          <w:iCs/>
          <w:color w:val="000000"/>
        </w:rPr>
        <w:t>„pateikiama paskutinė statinio projekto ar jo dokumentų laida, jei statinio projektas buvo keičiamas arba buvo keičiamas statinio projekto sudėtyje esantis kultūros paveldo tvarkybos darbų projektas.“</w:t>
      </w:r>
    </w:p>
    <w:p w14:paraId="567D3732" w14:textId="26646FAC" w:rsidR="002C0B5C" w:rsidRPr="00232B25" w:rsidRDefault="00604869" w:rsidP="00684FF9">
      <w:pPr>
        <w:pStyle w:val="Default"/>
        <w:ind w:firstLine="567"/>
        <w:jc w:val="both"/>
        <w:rPr>
          <w:lang w:val="lt-LT"/>
        </w:rPr>
      </w:pPr>
      <w:r w:rsidRPr="00232B25">
        <w:rPr>
          <w:lang w:val="lt-LT"/>
        </w:rPr>
        <w:t>Informuojame, kad 2023 m. gruodžio 19 d. Lietuvos Respublikos Seime priimtas Lietuvos Respublikos statybos įstatymo Nr. I-1240 1, 2, 3, 4, 5, 6, 111, 12, 14, 15, 17, 18, 22, 24, 26, 27, 271, 28, 34, 47, 49, 51, 521, 53 straipsnių, šeštojo skirsnio pavadinimo, 1 priedo pakeitimo ir įstatymo papildymo 112, 272, 531, 68 straipsniais įstatymas Nr. XIV-2413</w:t>
      </w:r>
      <w:r w:rsidR="00684FF9" w:rsidRPr="00232B25">
        <w:rPr>
          <w:rStyle w:val="EndnoteReference"/>
          <w:lang w:val="lt-LT"/>
        </w:rPr>
        <w:endnoteReference w:id="2"/>
      </w:r>
      <w:r w:rsidR="00F0073F" w:rsidRPr="00232B25">
        <w:rPr>
          <w:lang w:val="lt-LT"/>
        </w:rPr>
        <w:t xml:space="preserve"> (toliau </w:t>
      </w:r>
      <w:r w:rsidR="00F52F83" w:rsidRPr="00232B25">
        <w:rPr>
          <w:lang w:val="lt-LT"/>
        </w:rPr>
        <w:t>– Įstatymas)</w:t>
      </w:r>
      <w:r w:rsidRPr="00232B25">
        <w:rPr>
          <w:lang w:val="lt-LT"/>
        </w:rPr>
        <w:t xml:space="preserve">. </w:t>
      </w:r>
    </w:p>
    <w:p w14:paraId="2EC10191" w14:textId="5D9F9C7A" w:rsidR="002C0B5C" w:rsidRPr="00232B25" w:rsidRDefault="002C0B5C" w:rsidP="00684FF9">
      <w:pPr>
        <w:pStyle w:val="Default"/>
        <w:ind w:firstLine="567"/>
        <w:jc w:val="both"/>
        <w:rPr>
          <w:lang w:val="lt-LT"/>
        </w:rPr>
      </w:pPr>
      <w:r w:rsidRPr="00232B25">
        <w:rPr>
          <w:lang w:val="lt-LT"/>
        </w:rPr>
        <w:t xml:space="preserve">Įstatymu mažinama administracinė našta, skaidrinamas, supaprastinamas ir sutrumpinamas statybą leidžiančio dokumento išdavimo procesas, iš esmės peržiūrimi SLD išdavimo, pranešimo apie statybos pradžią ir kartu pateikiamos informacijos principai. Įstatyme įtvirtinama, kad statybą leidžiantis dokumentas išduodamas pagal </w:t>
      </w:r>
      <w:r w:rsidRPr="00232B25">
        <w:rPr>
          <w:i/>
          <w:iCs/>
          <w:lang w:val="lt-LT"/>
        </w:rPr>
        <w:t>projektinius pasiūlymus</w:t>
      </w:r>
      <w:r w:rsidRPr="00232B25">
        <w:rPr>
          <w:lang w:val="lt-LT"/>
        </w:rPr>
        <w:t xml:space="preserve">, projektinių pasiūlymų sudėtį nustato aplinkos ministras. Šiuo pakeitimu atsisakoma savivaldybės pritarimo projektiniams pasiūlymams stadijos taip sumažinant administracinę naštą ir išvengiant savivaldybei pateiktų statinių projektų pakartotinių tikrinimų. Šiais pakeitimais didinamas pasitikėjimas statybos dalyviais (statinio </w:t>
      </w:r>
      <w:r w:rsidRPr="00232B25">
        <w:rPr>
          <w:lang w:val="lt-LT"/>
        </w:rPr>
        <w:lastRenderedPageBreak/>
        <w:t xml:space="preserve">projekto, statinio ekspertizės rangovais, statytoju (užsakovu), statinio projektuotoju), suteikiant jiems didesnę atsakomybę rengiant, atliekant ekspertizę ar pateikiant statinio projektą. Siekiant statinio projekto kokybės, aiškiai įtvirtinama, kad tas pats statinio projektuotojas rengia visą statinio projektą, t. y. kitas projektuotojas gali rengti techninį darbo projektą tik aplinkos ministro nustatytais atvejais. </w:t>
      </w:r>
    </w:p>
    <w:p w14:paraId="55B6CCC1" w14:textId="1D914400" w:rsidR="00A47194" w:rsidRPr="00232B25" w:rsidRDefault="00F153E1" w:rsidP="00F153E1">
      <w:pPr>
        <w:ind w:firstLine="567"/>
        <w:rPr>
          <w:rFonts w:eastAsia="Calibri" w:cs="Times New Roman"/>
          <w:lang w:eastAsia="en-GB" w:bidi="ar-SA"/>
        </w:rPr>
      </w:pPr>
      <w:r w:rsidRPr="00232B25">
        <w:rPr>
          <w:rFonts w:cs="Times New Roman"/>
        </w:rPr>
        <w:t xml:space="preserve">Pagal </w:t>
      </w:r>
      <w:r w:rsidR="00A47194" w:rsidRPr="00232B25">
        <w:rPr>
          <w:rFonts w:cs="Times New Roman"/>
        </w:rPr>
        <w:t xml:space="preserve">Įstatymo </w:t>
      </w:r>
      <w:bookmarkStart w:id="1" w:name="_Hlk159837675"/>
      <w:r w:rsidR="00A47194" w:rsidRPr="00232B25">
        <w:rPr>
          <w:rFonts w:eastAsia="MS Gothic" w:cs="Times New Roman"/>
          <w:lang w:eastAsia="lt-LT" w:bidi="ar-SA"/>
        </w:rPr>
        <w:t>27</w:t>
      </w:r>
      <w:r w:rsidR="00A47194" w:rsidRPr="00232B25">
        <w:rPr>
          <w:rFonts w:eastAsia="MS Gothic" w:cs="Times New Roman"/>
          <w:vertAlign w:val="superscript"/>
          <w:lang w:eastAsia="lt-LT" w:bidi="ar-SA"/>
        </w:rPr>
        <w:t>2</w:t>
      </w:r>
      <w:r w:rsidR="00A47194" w:rsidRPr="00232B25">
        <w:rPr>
          <w:rFonts w:eastAsia="MS Gothic" w:cs="Times New Roman"/>
          <w:lang w:eastAsia="lt-LT" w:bidi="ar-SA"/>
        </w:rPr>
        <w:t xml:space="preserve"> </w:t>
      </w:r>
      <w:bookmarkEnd w:id="1"/>
      <w:r w:rsidR="00A47194" w:rsidRPr="00232B25">
        <w:rPr>
          <w:rFonts w:eastAsia="MS Gothic" w:cs="Times New Roman"/>
          <w:lang w:eastAsia="lt-LT" w:bidi="ar-SA"/>
        </w:rPr>
        <w:t>straipsni</w:t>
      </w:r>
      <w:r w:rsidR="00A47194" w:rsidRPr="00232B25">
        <w:rPr>
          <w:rFonts w:eastAsia="MS Gothic"/>
        </w:rPr>
        <w:t xml:space="preserve">o  </w:t>
      </w:r>
      <w:r w:rsidR="00A47194" w:rsidRPr="00232B25">
        <w:rPr>
          <w:rFonts w:eastAsia="Calibri" w:cs="Times New Roman"/>
          <w:lang w:eastAsia="en-GB" w:bidi="ar-SA"/>
        </w:rPr>
        <w:t>5 dalį pranešimą apie statybos pradžią sudaro šie dokumentai:</w:t>
      </w:r>
    </w:p>
    <w:p w14:paraId="60D9DA3C" w14:textId="6A5DC9BC" w:rsidR="00A47194" w:rsidRPr="00232B25" w:rsidRDefault="00A47194" w:rsidP="00A47194">
      <w:pPr>
        <w:ind w:firstLine="720"/>
        <w:rPr>
          <w:rFonts w:eastAsia="Calibri" w:cs="Times New Roman"/>
          <w:lang w:eastAsia="en-GB" w:bidi="ar-SA"/>
        </w:rPr>
      </w:pPr>
      <w:r w:rsidRPr="00232B25">
        <w:rPr>
          <w:rFonts w:eastAsia="Calibri" w:cs="Times New Roman"/>
          <w:lang w:eastAsia="en-GB" w:bidi="ar-SA"/>
        </w:rPr>
        <w:t>„&lt;...&gt;</w:t>
      </w:r>
    </w:p>
    <w:p w14:paraId="20960CA3" w14:textId="46E7B09C" w:rsidR="00A47194" w:rsidRPr="00232B25" w:rsidRDefault="00A47194" w:rsidP="00A47194">
      <w:pPr>
        <w:ind w:firstLine="720"/>
        <w:rPr>
          <w:rFonts w:eastAsia="Calibri" w:cs="Times New Roman"/>
          <w:i/>
          <w:iCs/>
          <w:lang w:eastAsia="en-GB" w:bidi="ar-SA"/>
        </w:rPr>
      </w:pPr>
      <w:r w:rsidRPr="00232B25">
        <w:rPr>
          <w:rFonts w:eastAsia="Calibri" w:cs="Times New Roman"/>
          <w:i/>
          <w:iCs/>
          <w:lang w:eastAsia="en-GB" w:bidi="ar-SA"/>
        </w:rPr>
        <w:t>3) techninis darbo projektas, pagal kurį bus vykdomi statybos darbai, parengtas aplinkos ministro nustatyta tvarka ir sąlygomis.“</w:t>
      </w:r>
    </w:p>
    <w:p w14:paraId="1088B3C4" w14:textId="5B0F089F" w:rsidR="00A47194" w:rsidRPr="00232B25" w:rsidRDefault="00A47194" w:rsidP="00A47194">
      <w:pPr>
        <w:ind w:firstLine="720"/>
        <w:rPr>
          <w:rFonts w:eastAsia="Calibri" w:cs="Times New Roman"/>
          <w:i/>
          <w:iCs/>
          <w:lang w:eastAsia="en-GB" w:bidi="ar-SA"/>
        </w:rPr>
      </w:pPr>
      <w:r w:rsidRPr="00232B25">
        <w:rPr>
          <w:rFonts w:eastAsia="MS Gothic" w:cs="Times New Roman"/>
        </w:rPr>
        <w:t xml:space="preserve">Pagal Įstatymo </w:t>
      </w:r>
      <w:r w:rsidRPr="00232B25">
        <w:rPr>
          <w:rFonts w:eastAsia="MS Gothic" w:cs="Times New Roman"/>
          <w:lang w:eastAsia="lt-LT" w:bidi="ar-SA"/>
        </w:rPr>
        <w:t>27</w:t>
      </w:r>
      <w:r w:rsidRPr="00232B25">
        <w:rPr>
          <w:rFonts w:eastAsia="MS Gothic" w:cs="Times New Roman"/>
          <w:vertAlign w:val="superscript"/>
          <w:lang w:eastAsia="lt-LT" w:bidi="ar-SA"/>
        </w:rPr>
        <w:t>2</w:t>
      </w:r>
      <w:r w:rsidRPr="00232B25">
        <w:rPr>
          <w:rFonts w:eastAsia="MS Gothic" w:cs="Times New Roman"/>
          <w:lang w:eastAsia="lt-LT" w:bidi="ar-SA"/>
        </w:rPr>
        <w:t xml:space="preserve"> </w:t>
      </w:r>
      <w:r w:rsidR="00F153E1" w:rsidRPr="00232B25">
        <w:rPr>
          <w:rFonts w:eastAsia="MS Gothic" w:cs="Times New Roman"/>
          <w:lang w:eastAsia="lt-LT" w:bidi="ar-SA"/>
        </w:rPr>
        <w:t xml:space="preserve">straipsnio </w:t>
      </w:r>
      <w:r w:rsidRPr="00232B25">
        <w:rPr>
          <w:rFonts w:eastAsia="Calibri" w:cs="Times New Roman"/>
          <w:lang w:eastAsia="en-GB" w:bidi="ar-SA"/>
        </w:rPr>
        <w:t xml:space="preserve">7 dalį  </w:t>
      </w:r>
      <w:r w:rsidRPr="00232B25">
        <w:rPr>
          <w:rFonts w:eastAsia="Calibri" w:cs="Times New Roman"/>
          <w:i/>
          <w:iCs/>
          <w:lang w:eastAsia="en-GB" w:bidi="ar-SA"/>
        </w:rPr>
        <w:t>„Apie pradedamus statybos darbus, siekiant sukurti galimybes visuomenei ginti teisę gyventi sveikatai ir gerovei tinkamoje aplinkoje, visuomenė informuojama per TPS „Vartai“ paskelbus Lietuvos Respublikos statybos leidimų ir statybos valstybinės priežiūros informacinėje sistemoje „</w:t>
      </w:r>
      <w:proofErr w:type="spellStart"/>
      <w:r w:rsidRPr="00232B25">
        <w:rPr>
          <w:rFonts w:eastAsia="Calibri" w:cs="Times New Roman"/>
          <w:i/>
          <w:iCs/>
          <w:lang w:eastAsia="en-GB" w:bidi="ar-SA"/>
        </w:rPr>
        <w:t>Infostatyba</w:t>
      </w:r>
      <w:proofErr w:type="spellEnd"/>
      <w:r w:rsidRPr="00232B25">
        <w:rPr>
          <w:rFonts w:eastAsia="Calibri" w:cs="Times New Roman"/>
          <w:i/>
          <w:iCs/>
          <w:lang w:eastAsia="en-GB" w:bidi="ar-SA"/>
        </w:rPr>
        <w:t>“ techninio darbo projekto (kai rengiama dviem etapais) arba statinio projekto (kai rengiama vienu etapu) sklypo sutvarkymo ir architektūrinę dalis, išskyrus Valstybės ir tarnybos paslapčių įstatymo nustatyta tvarka įslaptintus statinio projekto dokumentus. Draudžiama skelbti vardą ir pavardę statytojo (užsakovo), kuris yra fizinis asmuo, ir kitų fizinių asmenų, išskyrus statinio projekto vadovą, statinio projekto dalių vadovus, statinio architektus, statinio projekto rengėjus, statinio projekto dalių rengėjus, statinio projekto ekspertizės vadovą, statinio projekto dalių ekspertizės vadovus, asmenis, dalyvaujančius išduodant specialiuosius reikalavimus, prisijungimo prie inžinerinių tinklų ar susisiekimo komunikacijų sąlygas, tikrinant statinio projektą. Draudžiama skelbti fizinių asmenų asmens kodą, gimimo datą, gyvenamąją vietą. Už duomenų pateikimą be draudžiamų skelbti asmens duomenų atsako asmenys, teikiantys duomenis (dokumentus) informacinėms sistemoms. Šioje dalyje minėtų duomenų ir (ar) dokumentų paskelbimą ir jo užbaigimą užtikrina informacinių sistemų tvarkytojai.“</w:t>
      </w:r>
    </w:p>
    <w:p w14:paraId="5C3405BB" w14:textId="77777777" w:rsidR="00A47194" w:rsidRPr="00232B25" w:rsidRDefault="00A47194" w:rsidP="00A47194">
      <w:pPr>
        <w:pStyle w:val="Default"/>
        <w:ind w:firstLine="567"/>
        <w:jc w:val="both"/>
        <w:rPr>
          <w:lang w:val="lt-LT"/>
        </w:rPr>
      </w:pPr>
      <w:r w:rsidRPr="00232B25">
        <w:rPr>
          <w:lang w:val="lt-LT"/>
        </w:rPr>
        <w:t xml:space="preserve">Aplinkos ministerija vertina, kad Įstatymu sprendžiamos Specialiųjų tyrimų tarnybos išvadose keliamos problemos statybą leidžiančių dokumentų išdavimo srityje, skaidrinamas, supaprastinamas ir sutrumpinamas statybą leidžiančio dokumento išdavimo procesas. </w:t>
      </w:r>
    </w:p>
    <w:p w14:paraId="1EAC41BE" w14:textId="697E9D0D" w:rsidR="00385479" w:rsidRPr="00232B25" w:rsidRDefault="00385479" w:rsidP="00684FF9">
      <w:pPr>
        <w:pStyle w:val="BodyText"/>
        <w:rPr>
          <w:b/>
          <w:bCs/>
        </w:rPr>
      </w:pPr>
      <w:r w:rsidRPr="00232B25">
        <w:rPr>
          <w:b/>
          <w:bCs/>
        </w:rPr>
        <w:t>Dėl 1.3 papunkčio</w:t>
      </w:r>
    </w:p>
    <w:p w14:paraId="0A6B68CC" w14:textId="31A38A9C" w:rsidR="00385479" w:rsidRPr="00232B25" w:rsidRDefault="00385479" w:rsidP="00684FF9">
      <w:pPr>
        <w:pStyle w:val="BodyText"/>
        <w:rPr>
          <w:b/>
          <w:bCs/>
          <w:i/>
          <w:iCs/>
        </w:rPr>
      </w:pPr>
      <w:r w:rsidRPr="00232B25">
        <w:rPr>
          <w:i/>
          <w:iCs/>
        </w:rPr>
        <w:t>„Reglamente nustatyti pareigą prašymo priėmimo metu VTPSI deleguotam atstovui patikrinti, ar dėl SLD teisėtumo teismuose nėra priimta nagrinėti bylų, ar VTPSI nėra nustačiusi, kad SLD išduotas neteisėtai, ar viešajame registre nėra registruota faktų dėl SLD galiojimo sustabdymo ar draudimo vykdyti statybą, ar įsiteisėjusiu teismo sprendimu administracinis sprendimas patvirtinti žemės sklypo, kuriame pastatytas statinys, teritorijų planavimo dokumentą ar išduoti SLD, nėra panaikintas.“</w:t>
      </w:r>
    </w:p>
    <w:p w14:paraId="61803316" w14:textId="4F293C04" w:rsidR="005920E0" w:rsidRPr="00232B25" w:rsidRDefault="005920E0" w:rsidP="00684FF9">
      <w:pPr>
        <w:pStyle w:val="Default"/>
        <w:ind w:firstLine="567"/>
        <w:jc w:val="both"/>
        <w:rPr>
          <w:lang w:val="lt-LT"/>
        </w:rPr>
      </w:pPr>
      <w:r w:rsidRPr="00232B25">
        <w:rPr>
          <w:bCs/>
          <w:lang w:val="lt-LT"/>
        </w:rPr>
        <w:t xml:space="preserve">Jūsų pasiūlymo dalį </w:t>
      </w:r>
      <w:r w:rsidR="00D500DA" w:rsidRPr="00232B25">
        <w:rPr>
          <w:bCs/>
          <w:lang w:val="lt-LT"/>
        </w:rPr>
        <w:t xml:space="preserve">dėl </w:t>
      </w:r>
      <w:r w:rsidRPr="00232B25">
        <w:rPr>
          <w:lang w:val="lt-LT"/>
        </w:rPr>
        <w:t xml:space="preserve">Valstybinės teritorijų planavimo ir statybos </w:t>
      </w:r>
      <w:r w:rsidR="002C0B5C" w:rsidRPr="00232B25">
        <w:rPr>
          <w:lang w:val="lt-LT"/>
        </w:rPr>
        <w:t>i</w:t>
      </w:r>
      <w:r w:rsidRPr="00232B25">
        <w:rPr>
          <w:lang w:val="lt-LT"/>
        </w:rPr>
        <w:t>nspekcijos padalinio atstovui pareig</w:t>
      </w:r>
      <w:r w:rsidR="00D500DA" w:rsidRPr="00232B25">
        <w:rPr>
          <w:lang w:val="lt-LT"/>
        </w:rPr>
        <w:t xml:space="preserve">os nustatymo </w:t>
      </w:r>
      <w:r w:rsidRPr="00232B25">
        <w:rPr>
          <w:lang w:val="lt-LT"/>
        </w:rPr>
        <w:t xml:space="preserve"> analizuoti informaciją, ar įsiteisėjusiu teismo sprendimu administracinis sprendimas patvirtinti žemės sklypo, kuriame pastatytas statinys, teritorijų planavimo dokumentą </w:t>
      </w:r>
      <w:r w:rsidR="00D500DA" w:rsidRPr="00232B25">
        <w:rPr>
          <w:lang w:val="lt-LT"/>
        </w:rPr>
        <w:t xml:space="preserve"> ar išduoti SLD, nepanaikintas, </w:t>
      </w:r>
      <w:r w:rsidR="002C0B5C" w:rsidRPr="00232B25">
        <w:rPr>
          <w:lang w:val="lt-LT"/>
        </w:rPr>
        <w:t>nagrinėsime</w:t>
      </w:r>
      <w:r w:rsidRPr="00232B25">
        <w:rPr>
          <w:lang w:val="lt-LT"/>
        </w:rPr>
        <w:t xml:space="preserve"> ryšium su Įstatymo</w:t>
      </w:r>
      <w:r w:rsidR="002C0B5C" w:rsidRPr="00232B25">
        <w:rPr>
          <w:lang w:val="lt-LT"/>
        </w:rPr>
        <w:t xml:space="preserve"> </w:t>
      </w:r>
      <w:r w:rsidRPr="00232B25">
        <w:rPr>
          <w:lang w:val="lt-LT"/>
        </w:rPr>
        <w:t xml:space="preserve">pasikeitimu  kompleksiškai  peržiūrėdami  galiojančią Reglamento redakciją. </w:t>
      </w:r>
    </w:p>
    <w:p w14:paraId="5E91A636" w14:textId="1D20C739" w:rsidR="00385479" w:rsidRPr="00232B25" w:rsidRDefault="00385479" w:rsidP="00684FF9">
      <w:pPr>
        <w:pStyle w:val="TableContents"/>
        <w:ind w:firstLine="567"/>
        <w:rPr>
          <w:b/>
        </w:rPr>
      </w:pPr>
      <w:r w:rsidRPr="00232B25">
        <w:rPr>
          <w:b/>
        </w:rPr>
        <w:t>Dėl 1.4  papunkčio</w:t>
      </w:r>
    </w:p>
    <w:p w14:paraId="2874EA65" w14:textId="149CB98D" w:rsidR="00385479" w:rsidRPr="00232B25" w:rsidRDefault="00385479" w:rsidP="00684FF9">
      <w:pPr>
        <w:pStyle w:val="TableContents"/>
        <w:ind w:firstLine="567"/>
        <w:rPr>
          <w:bCs/>
          <w:i/>
          <w:iCs/>
        </w:rPr>
      </w:pPr>
      <w:r w:rsidRPr="00232B25">
        <w:rPr>
          <w:bCs/>
          <w:i/>
          <w:iCs/>
        </w:rPr>
        <w:t>„Siekiant užtikrinti projekto laidų prieinamumą, taip pat kad priežiūros institucijai IS „</w:t>
      </w:r>
      <w:proofErr w:type="spellStart"/>
      <w:r w:rsidRPr="00232B25">
        <w:rPr>
          <w:bCs/>
          <w:i/>
          <w:iCs/>
        </w:rPr>
        <w:t>Infostatyba</w:t>
      </w:r>
      <w:proofErr w:type="spellEnd"/>
      <w:r w:rsidRPr="00232B25">
        <w:rPr>
          <w:bCs/>
          <w:i/>
          <w:iCs/>
        </w:rPr>
        <w:t>“ būtų visuomet pasiekiama aktuali projekto ar jo dokumentų laida, pagal kurią vykdomi statybos darbai, mažėtų su prašymu išduoti statybos užbaigimo aktą pateikiamų dokumentų sąrašas, IS „</w:t>
      </w:r>
      <w:proofErr w:type="spellStart"/>
      <w:r w:rsidRPr="00232B25">
        <w:rPr>
          <w:bCs/>
          <w:i/>
          <w:iCs/>
        </w:rPr>
        <w:t>Infostatyba</w:t>
      </w:r>
      <w:proofErr w:type="spellEnd"/>
      <w:r w:rsidRPr="00232B25">
        <w:rPr>
          <w:bCs/>
          <w:i/>
          <w:iCs/>
        </w:rPr>
        <w:t>“ svarstyti dėl naujo funkcionalumo, kuris įpareigotų kartu su pranešimu apie statybos pradžią įkelti visas projekto dalis, kurių neprivaloma pateikti gaunant SLD ir darbo projektas; išleidžiant naują projekto laidą, būtų privaloma teikti naują pranešimą pridedant naują laidą.“</w:t>
      </w:r>
    </w:p>
    <w:p w14:paraId="3CA0A6EE" w14:textId="1BC894F9" w:rsidR="002C0B5C" w:rsidRPr="00232B25" w:rsidRDefault="002C0B5C" w:rsidP="00684FF9">
      <w:pPr>
        <w:pStyle w:val="Default"/>
        <w:ind w:firstLine="567"/>
        <w:jc w:val="both"/>
        <w:rPr>
          <w:b/>
          <w:bCs/>
          <w:lang w:val="lt-LT"/>
        </w:rPr>
      </w:pPr>
      <w:r w:rsidRPr="00232B25">
        <w:rPr>
          <w:lang w:val="lt-LT"/>
        </w:rPr>
        <w:t xml:space="preserve"> </w:t>
      </w:r>
      <w:r w:rsidR="00F153E1" w:rsidRPr="00232B25">
        <w:rPr>
          <w:lang w:val="lt-LT"/>
        </w:rPr>
        <w:t xml:space="preserve">Žr. atsakymą </w:t>
      </w:r>
      <w:r w:rsidR="00F153E1" w:rsidRPr="00232B25">
        <w:rPr>
          <w:b/>
          <w:bCs/>
          <w:lang w:val="lt-LT"/>
        </w:rPr>
        <w:t>dėl 1.2 papunkčio.</w:t>
      </w:r>
    </w:p>
    <w:p w14:paraId="4CFD0830" w14:textId="6D4AFD08" w:rsidR="00385479" w:rsidRPr="00232B25" w:rsidRDefault="00385479" w:rsidP="00684FF9">
      <w:pPr>
        <w:pStyle w:val="TableContents"/>
        <w:ind w:firstLine="567"/>
        <w:rPr>
          <w:b/>
        </w:rPr>
      </w:pPr>
      <w:r w:rsidRPr="00232B25">
        <w:rPr>
          <w:b/>
        </w:rPr>
        <w:t>Dėl 1.5 papunkčio</w:t>
      </w:r>
    </w:p>
    <w:p w14:paraId="7927BEEB" w14:textId="56F06D6A" w:rsidR="00385479" w:rsidRPr="00232B25" w:rsidRDefault="00385479" w:rsidP="00684FF9">
      <w:pPr>
        <w:pStyle w:val="TableContents"/>
        <w:ind w:firstLine="567"/>
        <w:rPr>
          <w:bCs/>
          <w:i/>
          <w:iCs/>
        </w:rPr>
      </w:pPr>
      <w:r w:rsidRPr="00232B25">
        <w:rPr>
          <w:bCs/>
          <w:i/>
          <w:iCs/>
        </w:rPr>
        <w:t xml:space="preserve">„Reglamento 9 priede nustatyti baigtinį visų statybos užbaigime turinčių dalyvauti institucijų sąrašą, apibrėžiant subjektų kompetencijas atsisakyti vertinamojo pobūdžio nuostatų. Siūlytina, kad statybos užbaigimo procedūroje dalyvautų visų institucijų, kurios dalyvavo SLD išdavimo metu ir </w:t>
      </w:r>
      <w:r w:rsidRPr="00232B25">
        <w:rPr>
          <w:bCs/>
          <w:i/>
          <w:iCs/>
        </w:rPr>
        <w:lastRenderedPageBreak/>
        <w:t xml:space="preserve">tikrino statinio projektų sprendinių atitiktį nustatytiems reikalavimams, atstovai (Aplinkos apsaugos </w:t>
      </w:r>
      <w:r w:rsidRPr="00232B25">
        <w:rPr>
          <w:bCs/>
        </w:rPr>
        <w:t>agentūra</w:t>
      </w:r>
      <w:r w:rsidRPr="00232B25">
        <w:rPr>
          <w:bCs/>
          <w:i/>
          <w:iCs/>
        </w:rPr>
        <w:t>, susisiekimo ministro įgaliota įstaiga, atsakinga už geležinkelių transporto eismo saugą).“</w:t>
      </w:r>
    </w:p>
    <w:p w14:paraId="01784BF4" w14:textId="6C94C15C" w:rsidR="00D32D6D" w:rsidRPr="00232B25" w:rsidRDefault="001208E3" w:rsidP="00684FF9">
      <w:pPr>
        <w:pStyle w:val="Default"/>
        <w:ind w:firstLine="567"/>
        <w:jc w:val="both"/>
        <w:rPr>
          <w:lang w:val="lt-LT"/>
        </w:rPr>
      </w:pPr>
      <w:r w:rsidRPr="00232B25">
        <w:rPr>
          <w:lang w:val="lt-LT"/>
        </w:rPr>
        <w:t xml:space="preserve"> </w:t>
      </w:r>
      <w:r w:rsidR="00D32D6D" w:rsidRPr="00232B25">
        <w:rPr>
          <w:bCs/>
          <w:lang w:val="lt-LT"/>
        </w:rPr>
        <w:t xml:space="preserve">Jūsų pasiūlymą nagrinėsime </w:t>
      </w:r>
      <w:r w:rsidR="00D32D6D" w:rsidRPr="00232B25">
        <w:rPr>
          <w:lang w:val="lt-LT"/>
        </w:rPr>
        <w:t xml:space="preserve">ryšium su Įstatymo pasikeitimu  kompleksiškai  peržiūrėdami  galiojančią Reglamento redakciją. </w:t>
      </w:r>
    </w:p>
    <w:p w14:paraId="3BE1B8E2" w14:textId="340007E5" w:rsidR="00385479" w:rsidRPr="00232B25" w:rsidRDefault="00385479" w:rsidP="00684FF9">
      <w:pPr>
        <w:pStyle w:val="TableContents"/>
        <w:ind w:firstLine="567"/>
        <w:rPr>
          <w:b/>
        </w:rPr>
      </w:pPr>
      <w:r w:rsidRPr="00232B25">
        <w:rPr>
          <w:b/>
        </w:rPr>
        <w:t xml:space="preserve">Dėl 1.9 papunkčio </w:t>
      </w:r>
    </w:p>
    <w:p w14:paraId="1733F187" w14:textId="384CCD2B" w:rsidR="00385479" w:rsidRPr="00232B25" w:rsidRDefault="00385479" w:rsidP="00684FF9">
      <w:pPr>
        <w:pStyle w:val="TableContents"/>
        <w:ind w:firstLine="567"/>
        <w:rPr>
          <w:bCs/>
          <w:i/>
          <w:iCs/>
        </w:rPr>
      </w:pPr>
      <w:r w:rsidRPr="00232B25">
        <w:rPr>
          <w:bCs/>
          <w:i/>
          <w:iCs/>
        </w:rPr>
        <w:t>„Svarstyti dėl statinio architekto įtraukimo į statinio statybos užbaigimo procedūras – IS „</w:t>
      </w:r>
      <w:proofErr w:type="spellStart"/>
      <w:r w:rsidRPr="00232B25">
        <w:rPr>
          <w:bCs/>
          <w:i/>
          <w:iCs/>
        </w:rPr>
        <w:t>Infostatyba</w:t>
      </w:r>
      <w:proofErr w:type="spellEnd"/>
      <w:r w:rsidRPr="00232B25">
        <w:rPr>
          <w:bCs/>
          <w:i/>
          <w:iCs/>
        </w:rPr>
        <w:t>“ tvirtinant deklaraciją/pažymą/aktą dėl užbaigto arba statomo statinio atitikties statinio projekte numatytiems, esminiams statinio architektūros reikalavimams.“</w:t>
      </w:r>
    </w:p>
    <w:p w14:paraId="1BFB21AC" w14:textId="08E54009" w:rsidR="006919BD" w:rsidRPr="00232B25" w:rsidRDefault="006919BD" w:rsidP="00684FF9">
      <w:pPr>
        <w:pStyle w:val="TableContents"/>
        <w:ind w:firstLine="567"/>
        <w:rPr>
          <w:bCs/>
        </w:rPr>
      </w:pPr>
      <w:r w:rsidRPr="00232B25">
        <w:rPr>
          <w:bCs/>
        </w:rPr>
        <w:t xml:space="preserve">Įstatymas nenumato </w:t>
      </w:r>
      <w:r w:rsidR="00462A82" w:rsidRPr="00232B25">
        <w:rPr>
          <w:bCs/>
        </w:rPr>
        <w:t xml:space="preserve">statinio </w:t>
      </w:r>
      <w:r w:rsidRPr="00232B25">
        <w:rPr>
          <w:bCs/>
        </w:rPr>
        <w:t xml:space="preserve"> architekt</w:t>
      </w:r>
      <w:r w:rsidR="00462A82" w:rsidRPr="00232B25">
        <w:rPr>
          <w:bCs/>
        </w:rPr>
        <w:t xml:space="preserve">ui pareigos dalyvauti </w:t>
      </w:r>
      <w:r w:rsidRPr="00232B25">
        <w:rPr>
          <w:bCs/>
        </w:rPr>
        <w:t xml:space="preserve"> </w:t>
      </w:r>
      <w:r w:rsidR="00462A82" w:rsidRPr="00232B25">
        <w:rPr>
          <w:bCs/>
        </w:rPr>
        <w:t xml:space="preserve">tvirtinant deklaraciją/pažymą/aktą dėl užbaigto arba statomo statinio atitikties esminiams statinio architektūros reikalavimams. </w:t>
      </w:r>
      <w:r w:rsidRPr="00232B25">
        <w:rPr>
          <w:bCs/>
        </w:rPr>
        <w:t xml:space="preserve"> </w:t>
      </w:r>
    </w:p>
    <w:p w14:paraId="4694B29E" w14:textId="7BD11829" w:rsidR="00385479" w:rsidRPr="00232B25" w:rsidRDefault="0017509E" w:rsidP="00684FF9">
      <w:pPr>
        <w:pStyle w:val="TableContents"/>
        <w:ind w:firstLine="567"/>
        <w:rPr>
          <w:rFonts w:eastAsia="Times New Roman" w:cs="Times New Roman"/>
          <w:bCs/>
          <w:i/>
          <w:iCs/>
          <w:lang w:bidi="ar-SA"/>
        </w:rPr>
      </w:pPr>
      <w:r w:rsidRPr="00232B25">
        <w:rPr>
          <w:bCs/>
        </w:rPr>
        <w:t>Pagal Įstatymo 5 straipsnio 2 dalį</w:t>
      </w:r>
      <w:r w:rsidRPr="00232B25">
        <w:rPr>
          <w:b/>
        </w:rPr>
        <w:t xml:space="preserve"> </w:t>
      </w:r>
      <w:r w:rsidRPr="00232B25">
        <w:rPr>
          <w:bCs/>
          <w:i/>
          <w:iCs/>
        </w:rPr>
        <w:t>„</w:t>
      </w:r>
      <w:r w:rsidRPr="00232B25">
        <w:rPr>
          <w:rFonts w:eastAsia="Times New Roman" w:cs="Times New Roman"/>
          <w:bCs/>
          <w:i/>
          <w:iCs/>
          <w:lang w:bidi="ar-SA"/>
        </w:rPr>
        <w:t>Už esminių architektūros reikalavimų įgyvendinimą statinio projekte atsako statinio architektas. Šio įstatymo, Architektūros įstatymo ir Autorių teisių ir gretutinių teisių įstatymo nustatyta tvarka statytojas (užsakovas) privalo užtikrinti statinio architekto tinkamą dalyvavimą atliekant visus projektavimo ir projekto įgyvendinimo darbus, kad būtų išlaikyti statinio architektūriniai sprendiniai.“</w:t>
      </w:r>
    </w:p>
    <w:p w14:paraId="45186CFB" w14:textId="48965924" w:rsidR="0017509E" w:rsidRPr="00232B25" w:rsidRDefault="0017509E" w:rsidP="00684FF9">
      <w:pPr>
        <w:pStyle w:val="TableContents"/>
        <w:ind w:firstLine="567"/>
        <w:rPr>
          <w:i/>
          <w:iCs/>
          <w:lang w:eastAsia="lt-LT"/>
        </w:rPr>
      </w:pPr>
      <w:r w:rsidRPr="00232B25">
        <w:rPr>
          <w:rFonts w:eastAsia="Times New Roman" w:cs="Times New Roman"/>
          <w:bCs/>
          <w:lang w:bidi="ar-SA"/>
        </w:rPr>
        <w:t xml:space="preserve">Pagal įstatymo 20 straipsnio 1 dalį </w:t>
      </w:r>
      <w:r w:rsidRPr="00232B25">
        <w:rPr>
          <w:lang w:eastAsia="lt-LT"/>
        </w:rPr>
        <w:t>Savivaldybių administracija</w:t>
      </w:r>
      <w:r w:rsidRPr="00232B25">
        <w:t xml:space="preserve"> </w:t>
      </w:r>
      <w:r w:rsidRPr="00232B25">
        <w:rPr>
          <w:lang w:eastAsia="lt-LT"/>
        </w:rPr>
        <w:t xml:space="preserve">tikrina statybą leidžiančiam dokumentui gauti  pateiktus projektinius pasiūlymus. Sprendimą pritarti ar nepritarti projektiniams pasiūlymams priima savivaldybės vyriausiasis architektas. </w:t>
      </w:r>
      <w:r w:rsidR="005F21C5" w:rsidRPr="00232B25">
        <w:rPr>
          <w:lang w:eastAsia="lt-LT"/>
        </w:rPr>
        <w:t xml:space="preserve">Be kitų šioje dalyje išvardintų duomenų tikrinama ar suprojektuoto </w:t>
      </w:r>
      <w:r w:rsidR="005F21C5" w:rsidRPr="00232B25">
        <w:rPr>
          <w:i/>
          <w:iCs/>
          <w:lang w:eastAsia="lt-LT"/>
        </w:rPr>
        <w:t>„statinio architektūra atitinka architektūros kokybės kriterijus ir projektiniai pasiūlymai atitinka nustatytus specialiuosius architektūros reikalavimus (jeigu jie išduoti).“</w:t>
      </w:r>
    </w:p>
    <w:p w14:paraId="69E13F7E" w14:textId="07407F44" w:rsidR="005F21C5" w:rsidRPr="00232B25" w:rsidRDefault="005F21C5" w:rsidP="00684FF9">
      <w:pPr>
        <w:pStyle w:val="zStyle-1"/>
        <w:rPr>
          <w:rFonts w:eastAsia="Palemonas"/>
          <w:i/>
          <w:iCs/>
          <w:szCs w:val="24"/>
        </w:rPr>
      </w:pPr>
      <w:r w:rsidRPr="00232B25">
        <w:rPr>
          <w:szCs w:val="24"/>
        </w:rPr>
        <w:t xml:space="preserve">Pagal Įstatymo 2 straipsnio 1  dalį </w:t>
      </w:r>
      <w:r w:rsidRPr="00232B25">
        <w:rPr>
          <w:i/>
          <w:iCs/>
          <w:szCs w:val="24"/>
        </w:rPr>
        <w:t>„</w:t>
      </w:r>
      <w:r w:rsidRPr="00232B25">
        <w:rPr>
          <w:i/>
          <w:iCs/>
          <w:szCs w:val="24"/>
          <w:bdr w:val="none" w:sz="0" w:space="0" w:color="auto" w:frame="1"/>
          <w:shd w:val="clear" w:color="auto" w:fill="FFFFFF"/>
        </w:rPr>
        <w:t xml:space="preserve">Deklaracijos apie statybos užbaigimą tvirtinimas – </w:t>
      </w:r>
      <w:r w:rsidRPr="00232B25">
        <w:rPr>
          <w:rFonts w:eastAsia="Palemonas"/>
          <w:i/>
          <w:iCs/>
          <w:szCs w:val="24"/>
        </w:rPr>
        <w:t>dalis statinio statybos užbaigimo procedūros, per kurią statinio projekto (jo dalies) ekspertizės rangovas, turintis teisę būti ypatingojo ar neypatingojo statinio projekto (jo dalies) ekspertizės rangovu, ar statinio (jo dalies) ekspertizės rangovas, turintis teisę būti ypatingojo ar neypatingojo statinio (jo dalies) ekspertizės rangovu, savo ekspertine išvada pritaria statytojo (užsakovo) parengtai statinio užbaigimo deklaracijai, kuria deklaruojama, kad pastatytas statinys atitinka statinio projektą, normatyvinių statybos techninių dokumentų, normatyvinių statinio saugos ir paskirties dokumentų ir kitų teisės aktų reikalavimus.“</w:t>
      </w:r>
    </w:p>
    <w:p w14:paraId="65D64894" w14:textId="55B2B329" w:rsidR="00385479" w:rsidRPr="00232B25" w:rsidRDefault="00385479" w:rsidP="00684FF9">
      <w:pPr>
        <w:pStyle w:val="TableContents"/>
        <w:ind w:firstLine="567"/>
        <w:rPr>
          <w:b/>
        </w:rPr>
      </w:pPr>
      <w:r w:rsidRPr="00232B25">
        <w:rPr>
          <w:b/>
        </w:rPr>
        <w:t xml:space="preserve">Dėl 1.10 papunkčio </w:t>
      </w:r>
    </w:p>
    <w:p w14:paraId="08D3F37B" w14:textId="5E0529AD" w:rsidR="00385479" w:rsidRPr="00232B25" w:rsidRDefault="00385479" w:rsidP="00684FF9">
      <w:pPr>
        <w:pStyle w:val="TableContents"/>
        <w:ind w:firstLine="567"/>
        <w:rPr>
          <w:bCs/>
          <w:i/>
          <w:iCs/>
        </w:rPr>
      </w:pPr>
      <w:r w:rsidRPr="00232B25">
        <w:rPr>
          <w:bCs/>
          <w:i/>
          <w:iCs/>
        </w:rPr>
        <w:t xml:space="preserve">„Spręsti dėl teisinio reglamentavimo tobulinimo, siekiant, kad savivaldybių administracijos neišduotų statybą leidžiančių dokumentų pačios sau ir nedalyvautų savo inicijuotų ir vykdomų projektų statybos užbaigimo procedūrose </w:t>
      </w:r>
      <w:r w:rsidRPr="00232B25">
        <w:rPr>
          <w:i/>
          <w:iCs/>
        </w:rPr>
        <w:t>pavyzdžiui, nustatant, kad šiais atvejais statybą leidžiantį dokumentą išduota ar statybos užbaigimo komisijoje dalyvauja kitos savivaldybės administracija teisės aktų nustatyta tvarka. Arba numatyti kitą alternatyvų šios antikorupciniu požiūriu ydingos situacijos sprendimo būdą.</w:t>
      </w:r>
      <w:r w:rsidRPr="00232B25">
        <w:rPr>
          <w:bCs/>
          <w:i/>
          <w:iCs/>
        </w:rPr>
        <w:t>“</w:t>
      </w:r>
    </w:p>
    <w:p w14:paraId="327D89E7" w14:textId="77777777" w:rsidR="00134177" w:rsidRPr="00232B25" w:rsidRDefault="00134177" w:rsidP="00684FF9">
      <w:pPr>
        <w:pStyle w:val="BodyText"/>
        <w:rPr>
          <w:i/>
          <w:iCs/>
        </w:rPr>
      </w:pPr>
      <w:r w:rsidRPr="00232B25">
        <w:rPr>
          <w:bCs/>
        </w:rPr>
        <w:t>Pakartotinai informuojame, kad p</w:t>
      </w:r>
      <w:r w:rsidRPr="00232B25">
        <w:t>agal Lietuvos Respublikos statybos įstatymo 27 str. 4 d.</w:t>
      </w:r>
      <w:r w:rsidRPr="00232B25">
        <w:rPr>
          <w:color w:val="000000"/>
        </w:rPr>
        <w:t xml:space="preserve"> </w:t>
      </w:r>
      <w:r w:rsidRPr="00232B25">
        <w:rPr>
          <w:i/>
          <w:iCs/>
          <w:color w:val="000000"/>
        </w:rPr>
        <w:t>„Jeigu statinys statomas kelių savivaldybių teritorijoje, kiekvienos savivaldybės meras ar jo įgaliotas savivaldybės administracijos valstybės tarnautojas išduoda statinio dalies, kuri yra tos savivaldybės teritorijoje, statybą leidžiantį dokumentą.“</w:t>
      </w:r>
    </w:p>
    <w:p w14:paraId="15203F3C" w14:textId="77777777" w:rsidR="00134177" w:rsidRPr="00232B25" w:rsidRDefault="00134177" w:rsidP="00684FF9">
      <w:pPr>
        <w:pStyle w:val="TableContents"/>
        <w:ind w:firstLine="567"/>
      </w:pPr>
      <w:r w:rsidRPr="00232B25">
        <w:t xml:space="preserve">Aplinkos ministerija nepritaria Specialiųjų tyrimų tarnybos siūlymui keisti galiojantį teisinį reglamentavimą, nes sistemiškai vertinant tai nebūtų tinkamas sprendinys išeinant iš Lietuvos Respublikos vietos savivaldos įstatyme savivaldybėms suteiktų įgaliojimų. </w:t>
      </w:r>
    </w:p>
    <w:p w14:paraId="20949719" w14:textId="107617BF" w:rsidR="00385479" w:rsidRPr="00232B25" w:rsidRDefault="00385479" w:rsidP="00684FF9">
      <w:pPr>
        <w:pStyle w:val="TableContents"/>
        <w:ind w:firstLine="567"/>
        <w:rPr>
          <w:b/>
        </w:rPr>
      </w:pPr>
      <w:r w:rsidRPr="00232B25">
        <w:rPr>
          <w:b/>
        </w:rPr>
        <w:t xml:space="preserve">Dėl 1.13   papunkčio </w:t>
      </w:r>
    </w:p>
    <w:p w14:paraId="6171590C" w14:textId="5EBF36E6" w:rsidR="00385479" w:rsidRPr="00232B25" w:rsidRDefault="00385479" w:rsidP="00684FF9">
      <w:pPr>
        <w:pStyle w:val="TableContents"/>
        <w:ind w:firstLine="567"/>
        <w:rPr>
          <w:bCs/>
          <w:i/>
          <w:iCs/>
        </w:rPr>
      </w:pPr>
      <w:r w:rsidRPr="00232B25">
        <w:rPr>
          <w:bCs/>
          <w:i/>
          <w:iCs/>
        </w:rPr>
        <w:t>„Kreiptis į subjektus, kurie yra nurodyti Reglamento 9 priede, prašant patikslinti jų kompetenciją (atsakomybės ribas) ir patikrinimo apimtis atliekant statybos užbaigimo procedūras, nustatyti pareigą patvirtinti statybos užbaigimo patikrinimo kontrolinius klausimynus, kurie būtų viešai paskelbti jų interneto svetainėse.“</w:t>
      </w:r>
    </w:p>
    <w:p w14:paraId="2AF38385" w14:textId="77777777" w:rsidR="001735BD" w:rsidRPr="00232B25" w:rsidRDefault="001735BD" w:rsidP="00684FF9">
      <w:pPr>
        <w:ind w:firstLine="567"/>
        <w:textAlignment w:val="baseline"/>
        <w:rPr>
          <w:rFonts w:cs="Times New Roman"/>
        </w:rPr>
      </w:pPr>
      <w:r w:rsidRPr="00232B25">
        <w:rPr>
          <w:bCs/>
        </w:rPr>
        <w:t xml:space="preserve">Pakartotinai informuojame, kad </w:t>
      </w:r>
      <w:r w:rsidRPr="00232B25">
        <w:rPr>
          <w:rFonts w:cs="Times New Roman"/>
        </w:rPr>
        <w:t>2023 m. balandžio 28 d. buvo patvirtintas Lietuvos Respublikos aplinkos ministro įsakymas D1-129 „</w:t>
      </w:r>
      <w:r w:rsidRPr="00232B25">
        <w:rPr>
          <w:rFonts w:eastAsia="Times New Roman" w:cs="Times New Roman"/>
          <w:lang w:eastAsia="lt-LT" w:bidi="ar-SA"/>
        </w:rPr>
        <w:t xml:space="preserve">Dėl Lietuvos Respublikos aplinkos ministro 2016 m. gruodžio 12 d. įsakymo Nr. D1-878 „Dėl statybos techninio reglamento STR 1.05.01:2017 „Statybą leidžiantys dokumentai. statybos užbaigimas. Nebaigto statinio registravimas ir </w:t>
      </w:r>
      <w:r w:rsidRPr="00232B25">
        <w:rPr>
          <w:rFonts w:eastAsia="Times New Roman" w:cs="Times New Roman"/>
          <w:lang w:eastAsia="lt-LT" w:bidi="ar-SA"/>
        </w:rPr>
        <w:lastRenderedPageBreak/>
        <w:t>perleidimas. Statybos sustabdymas. Savavališkos statybos padarinių šalinimas. Statybos pagal neteisėtai išduotą statybą leidžiantį dokumentą padarinių šalinimas“ patvirtinimo“ pakeitimo</w:t>
      </w:r>
      <w:r w:rsidRPr="00232B25">
        <w:rPr>
          <w:rFonts w:cs="Times New Roman"/>
        </w:rPr>
        <w:t>“, kurio 1.2.34 papunkčiu buvo pakeistas  Reglamento</w:t>
      </w:r>
      <w:r w:rsidRPr="00232B25">
        <w:rPr>
          <w:rFonts w:eastAsia="Times New Roman" w:cs="Times New Roman"/>
          <w:lang w:eastAsia="lt-LT" w:bidi="ar-SA"/>
        </w:rPr>
        <w:t xml:space="preserve"> </w:t>
      </w:r>
      <w:r w:rsidRPr="00232B25">
        <w:rPr>
          <w:rFonts w:cs="Times New Roman"/>
        </w:rPr>
        <w:t xml:space="preserve">68.4 papunktis, nustatant, kad „&lt;...&gt; </w:t>
      </w:r>
      <w:r w:rsidRPr="00232B25">
        <w:rPr>
          <w:rFonts w:cs="Times New Roman"/>
          <w:i/>
          <w:iCs/>
        </w:rPr>
        <w:t>atlikdami vieną iš nurodytų veiksmų, komisijos nariai privalo IS „</w:t>
      </w:r>
      <w:proofErr w:type="spellStart"/>
      <w:r w:rsidRPr="00232B25">
        <w:rPr>
          <w:rFonts w:cs="Times New Roman"/>
          <w:i/>
          <w:iCs/>
        </w:rPr>
        <w:t>Infostatyba</w:t>
      </w:r>
      <w:proofErr w:type="spellEnd"/>
      <w:r w:rsidRPr="00232B25">
        <w:rPr>
          <w:rFonts w:cs="Times New Roman"/>
          <w:i/>
          <w:iCs/>
        </w:rPr>
        <w:t>“ paskelbti statybos užbaigimo metu užpildytus atlikto patikrinimo kontrolinius klausimynus</w:t>
      </w:r>
      <w:r w:rsidRPr="00232B25">
        <w:rPr>
          <w:rFonts w:cs="Times New Roman"/>
        </w:rPr>
        <w:t>“. Kadangi šio reglamento pakeitimo įsigaliojimas buvo numatytas š. m. lapkričio 1 d., iki minėtos datos statinio statybos užbaigimo procedūrose dalyvaujantys subjektai turėjo pasirengti ir pasitvirtinti kontrolinius klausimynus.</w:t>
      </w:r>
    </w:p>
    <w:p w14:paraId="5B0943F5" w14:textId="02196DD6" w:rsidR="001735BD" w:rsidRPr="00232B25" w:rsidRDefault="001735BD" w:rsidP="00684FF9">
      <w:pPr>
        <w:ind w:firstLine="567"/>
        <w:textAlignment w:val="baseline"/>
        <w:rPr>
          <w:rFonts w:cs="Times New Roman"/>
        </w:rPr>
      </w:pPr>
      <w:r w:rsidRPr="00232B25">
        <w:rPr>
          <w:rFonts w:cs="Times New Roman"/>
        </w:rPr>
        <w:t xml:space="preserve">Aplinkos ministerijai kartu su Valstybine teritorijų planavimo ir statybos inspekcija </w:t>
      </w:r>
      <w:r w:rsidR="00F72EFA" w:rsidRPr="00232B25">
        <w:rPr>
          <w:rFonts w:cs="Times New Roman"/>
        </w:rPr>
        <w:t xml:space="preserve">(toliau – VTPSI) </w:t>
      </w:r>
      <w:r w:rsidRPr="00232B25">
        <w:rPr>
          <w:rFonts w:cs="Times New Roman"/>
        </w:rPr>
        <w:t xml:space="preserve"> 2023 m. spalio mėn. atlikus statinio statybos užbaigimo procedūrose dalyvaujančių subjektų apklausą per IS „</w:t>
      </w:r>
      <w:proofErr w:type="spellStart"/>
      <w:r w:rsidRPr="00232B25">
        <w:rPr>
          <w:rFonts w:cs="Times New Roman"/>
        </w:rPr>
        <w:t>Infostatyba</w:t>
      </w:r>
      <w:proofErr w:type="spellEnd"/>
      <w:r w:rsidRPr="00232B25">
        <w:rPr>
          <w:rFonts w:cs="Times New Roman"/>
        </w:rPr>
        <w:t xml:space="preserve">“, paaiškėjo, kad dauguma statinio statybos užbaigimo procedūrose dalyvaujančių subjektų nepasirengė ir nepasitvirtino kontrolinių klausimynų. Nors apie Reglamento 68.4 papunkčio pasikeitimą (turėjusį įsigalioti 2023 m. lapkričio 1 d.) statybos užbaigimo procedūrose dalyvaujantys subjektai žinojo prieš pusę metų, t. y. nuo </w:t>
      </w:r>
      <w:r w:rsidR="00F72EFA" w:rsidRPr="00232B25">
        <w:rPr>
          <w:rFonts w:cs="Times New Roman"/>
        </w:rPr>
        <w:t xml:space="preserve">2023 </w:t>
      </w:r>
      <w:r w:rsidRPr="00232B25">
        <w:rPr>
          <w:rFonts w:cs="Times New Roman"/>
        </w:rPr>
        <w:t>m. balandžio 28 d., tačiau nepasirengė kontrolinių klausimynų, VTPSI surengė papildomus mokymus statybos užbaigimo procedūrose dalyvaujantiems subjektams, o Aplinkos ministerija parengė ir patvirtino Lietuvos Respublikos aplinkos ministro 2023 m. lapkričio 3 d. įsakymą D1-363 „</w:t>
      </w:r>
      <w:r w:rsidRPr="00232B25">
        <w:rPr>
          <w:rFonts w:eastAsia="Times New Roman" w:cs="Times New Roman"/>
          <w:lang w:eastAsia="lt-LT" w:bidi="ar-SA"/>
        </w:rPr>
        <w:t>Dėl Lietuvos Respublikos aplinkos ministro 2016 m. gruodžio 12 d. įsakymo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pakeitimo</w:t>
      </w:r>
      <w:r w:rsidRPr="00232B25">
        <w:rPr>
          <w:rFonts w:cs="Times New Roman"/>
        </w:rPr>
        <w:t xml:space="preserve">“, kuriuo buvo atidėtas Reglamento </w:t>
      </w:r>
      <w:bookmarkStart w:id="2" w:name="_Hlk159250085"/>
      <w:r w:rsidRPr="00232B25">
        <w:rPr>
          <w:rFonts w:cs="Times New Roman"/>
        </w:rPr>
        <w:t xml:space="preserve">68.4 papunkčio </w:t>
      </w:r>
      <w:bookmarkEnd w:id="2"/>
      <w:r w:rsidRPr="00232B25">
        <w:rPr>
          <w:rFonts w:cs="Times New Roman"/>
        </w:rPr>
        <w:t xml:space="preserve">įsigaliojimo terminas, t. y. kontrolinių klausimynų privalomasis pasirengimo terminas nukeltas iki 2024 m. sausio 1 d. </w:t>
      </w:r>
    </w:p>
    <w:p w14:paraId="4652B84D" w14:textId="76E816AF" w:rsidR="00385479" w:rsidRPr="00232B25" w:rsidRDefault="00424E68" w:rsidP="00684FF9">
      <w:pPr>
        <w:pStyle w:val="TableContents"/>
        <w:ind w:firstLine="567"/>
        <w:rPr>
          <w:b/>
        </w:rPr>
      </w:pPr>
      <w:r w:rsidRPr="00232B25">
        <w:rPr>
          <w:b/>
        </w:rPr>
        <w:t>Dėl 1.14 papunkčio</w:t>
      </w:r>
    </w:p>
    <w:p w14:paraId="6788D3EF" w14:textId="5A2A8FA9" w:rsidR="00424E68" w:rsidRPr="00232B25" w:rsidRDefault="00424E68" w:rsidP="00684FF9">
      <w:pPr>
        <w:pStyle w:val="TableContents"/>
        <w:ind w:firstLine="567"/>
        <w:rPr>
          <w:bCs/>
          <w:i/>
          <w:iCs/>
        </w:rPr>
      </w:pPr>
      <w:r w:rsidRPr="00232B25">
        <w:rPr>
          <w:bCs/>
          <w:i/>
          <w:iCs/>
        </w:rPr>
        <w:t>„Svarstyti galimybę modifikuoti IS „</w:t>
      </w:r>
      <w:proofErr w:type="spellStart"/>
      <w:r w:rsidRPr="00232B25">
        <w:rPr>
          <w:bCs/>
          <w:i/>
          <w:iCs/>
        </w:rPr>
        <w:t>Infostatyba</w:t>
      </w:r>
      <w:proofErr w:type="spellEnd"/>
      <w:r w:rsidRPr="00232B25">
        <w:rPr>
          <w:bCs/>
          <w:i/>
          <w:iCs/>
        </w:rPr>
        <w:t>“, sudarant galimybę statybos užbaigimo komisijos nariams pildyti kontrolinius klausimynus informacinės sistemos priemonėmis, taip užtikrinant maksimalų proceso viešumą ir skaidrumą, informacijos apie patikrinimą atsekamumą.“</w:t>
      </w:r>
    </w:p>
    <w:p w14:paraId="247E557A" w14:textId="7609E676" w:rsidR="00385479" w:rsidRPr="00232B25" w:rsidRDefault="00F72EFA" w:rsidP="00684FF9">
      <w:pPr>
        <w:pStyle w:val="TableContents"/>
        <w:ind w:firstLine="567"/>
        <w:rPr>
          <w:bCs/>
        </w:rPr>
      </w:pPr>
      <w:r w:rsidRPr="00232B25">
        <w:rPr>
          <w:bCs/>
        </w:rPr>
        <w:t xml:space="preserve">Pagal Reglamento </w:t>
      </w:r>
      <w:r w:rsidRPr="00232B25">
        <w:rPr>
          <w:rFonts w:cs="Times New Roman"/>
        </w:rPr>
        <w:t>68.4 papunkčio nuostatas „</w:t>
      </w:r>
      <w:r w:rsidRPr="00232B25">
        <w:rPr>
          <w:color w:val="000000"/>
        </w:rPr>
        <w:t>komisijos nariai pagal Reglamento 9 priede nustatytą kompetenciją užbaigę patikrinimą, IS „</w:t>
      </w:r>
      <w:proofErr w:type="spellStart"/>
      <w:r w:rsidRPr="00232B25">
        <w:rPr>
          <w:color w:val="000000"/>
        </w:rPr>
        <w:t>Infostatyba</w:t>
      </w:r>
      <w:proofErr w:type="spellEnd"/>
      <w:r w:rsidRPr="00232B25">
        <w:rPr>
          <w:color w:val="000000"/>
        </w:rPr>
        <w:t xml:space="preserve">“ pasirašo kvalifikuotais elektroniniais parašais statybos užbaigimo aktą, sustabdo komisijos veiklą arba atsisako išduoti statybos užbaigimo aktą; </w:t>
      </w:r>
      <w:r w:rsidRPr="00232B25">
        <w:rPr>
          <w:i/>
          <w:iCs/>
          <w:color w:val="000000"/>
        </w:rPr>
        <w:t>atlikdami vieną iš nurodytų veiksmų, komisijos nariai</w:t>
      </w:r>
      <w:r w:rsidRPr="00232B25">
        <w:rPr>
          <w:color w:val="000000"/>
        </w:rPr>
        <w:t xml:space="preserve"> </w:t>
      </w:r>
      <w:r w:rsidRPr="00232B25">
        <w:rPr>
          <w:i/>
          <w:iCs/>
          <w:color w:val="000000"/>
        </w:rPr>
        <w:t>privalo IS „</w:t>
      </w:r>
      <w:proofErr w:type="spellStart"/>
      <w:r w:rsidRPr="00232B25">
        <w:rPr>
          <w:i/>
          <w:iCs/>
          <w:color w:val="000000"/>
        </w:rPr>
        <w:t>Infostatyba</w:t>
      </w:r>
      <w:proofErr w:type="spellEnd"/>
      <w:r w:rsidRPr="00232B25">
        <w:rPr>
          <w:i/>
          <w:iCs/>
          <w:color w:val="000000"/>
        </w:rPr>
        <w:t>“ paskelbti statybos užbaigimo metu užpildytus atlikto patikrinimo kontrolinius klausimynus.</w:t>
      </w:r>
      <w:r w:rsidRPr="00232B25">
        <w:rPr>
          <w:rFonts w:cs="Times New Roman"/>
          <w:i/>
          <w:iCs/>
        </w:rPr>
        <w:t>“</w:t>
      </w:r>
    </w:p>
    <w:p w14:paraId="661ECA17" w14:textId="456B6C42" w:rsidR="00385479" w:rsidRPr="00232B25" w:rsidRDefault="00424E68" w:rsidP="00684FF9">
      <w:pPr>
        <w:pStyle w:val="TableContents"/>
        <w:ind w:firstLine="567"/>
        <w:rPr>
          <w:b/>
        </w:rPr>
      </w:pPr>
      <w:r w:rsidRPr="00232B25">
        <w:rPr>
          <w:b/>
        </w:rPr>
        <w:t xml:space="preserve">Dėl 1.15  papunkčio </w:t>
      </w:r>
    </w:p>
    <w:p w14:paraId="342CEB3A" w14:textId="21748793" w:rsidR="00424E68" w:rsidRPr="00232B25" w:rsidRDefault="00424E68" w:rsidP="00684FF9">
      <w:pPr>
        <w:pStyle w:val="TableContents"/>
        <w:ind w:firstLine="567"/>
        <w:rPr>
          <w:bCs/>
          <w:i/>
          <w:iCs/>
        </w:rPr>
      </w:pPr>
      <w:r w:rsidRPr="00232B25">
        <w:rPr>
          <w:bCs/>
          <w:i/>
          <w:iCs/>
        </w:rPr>
        <w:t>„</w:t>
      </w:r>
      <w:r w:rsidRPr="00232B25">
        <w:rPr>
          <w:i/>
          <w:iCs/>
        </w:rPr>
        <w:t>Tikslinti teisinį reguliavimą, siekiant atkleisti ir detalizuoti komisijos narių veiksmus bei jų fiksavimą, kai nustatomi neesminiai statybos užbaigimo pažeidimai. Siūlytina svarstyti dėl tokių pažeidimų fiksavimo, atsekamumo bei dokumentavimo ir šias nuostatas įtvirtinti Reglamente.</w:t>
      </w:r>
      <w:r w:rsidRPr="00232B25">
        <w:rPr>
          <w:bCs/>
          <w:i/>
          <w:iCs/>
        </w:rPr>
        <w:t>“</w:t>
      </w:r>
    </w:p>
    <w:p w14:paraId="21CAC5E2" w14:textId="18AF30F4" w:rsidR="00D32D6D" w:rsidRPr="00232B25" w:rsidRDefault="00D32D6D" w:rsidP="00684FF9">
      <w:pPr>
        <w:pStyle w:val="Default"/>
        <w:ind w:firstLine="567"/>
        <w:jc w:val="both"/>
        <w:rPr>
          <w:lang w:val="lt-LT"/>
        </w:rPr>
      </w:pPr>
      <w:bookmarkStart w:id="3" w:name="_Hlk159329358"/>
      <w:r w:rsidRPr="00232B25">
        <w:rPr>
          <w:bCs/>
          <w:lang w:val="lt-LT"/>
        </w:rPr>
        <w:t xml:space="preserve">Jūsų pasiūlymą nagrinėsime </w:t>
      </w:r>
      <w:r w:rsidRPr="00232B25">
        <w:rPr>
          <w:lang w:val="lt-LT"/>
        </w:rPr>
        <w:t xml:space="preserve">ryšium su Įstatymo pasikeitimu  kompleksiškai  peržiūrėdami  galiojančią Reglamento redakciją. </w:t>
      </w:r>
    </w:p>
    <w:bookmarkEnd w:id="3"/>
    <w:p w14:paraId="566E8605" w14:textId="4CAEE5E0" w:rsidR="00424E68" w:rsidRPr="00232B25" w:rsidRDefault="00424E68" w:rsidP="00684FF9">
      <w:pPr>
        <w:pStyle w:val="TableContents"/>
        <w:ind w:firstLine="567"/>
        <w:rPr>
          <w:b/>
        </w:rPr>
      </w:pPr>
      <w:r w:rsidRPr="00232B25">
        <w:rPr>
          <w:b/>
        </w:rPr>
        <w:t xml:space="preserve">Dėl 1.16 papunkčio </w:t>
      </w:r>
    </w:p>
    <w:p w14:paraId="0F75CD4D" w14:textId="2261EE18" w:rsidR="00424E68" w:rsidRPr="00232B25" w:rsidRDefault="00424E68" w:rsidP="00684FF9">
      <w:pPr>
        <w:pStyle w:val="TableContents"/>
        <w:ind w:firstLine="567"/>
        <w:rPr>
          <w:bCs/>
          <w:i/>
          <w:iCs/>
        </w:rPr>
      </w:pPr>
      <w:r w:rsidRPr="00232B25">
        <w:rPr>
          <w:bCs/>
          <w:i/>
          <w:iCs/>
        </w:rPr>
        <w:t>„Kreiptis į subjektus, kurie yra nurodyti Reglamento 9 priede, prašant patvirtinti tam tikras patikrinimo dokumentų formas (aktus, protokolas ar kt.), kurie būtų pildomi kiekvienos statybos užbaigimo procedūros metu, fiksuojant esminius ir neesminius pažeidimus, nurodant taisytinus aspektus, pateiktinus dokumentus, terminus ir asmenis, kuriems nurodoma tai atlikti ir kitus būtinus aspektus. Sudaryti galimybę komisijos nariams šiuos dokumentus pateikti IS „</w:t>
      </w:r>
      <w:proofErr w:type="spellStart"/>
      <w:r w:rsidRPr="00232B25">
        <w:rPr>
          <w:bCs/>
          <w:i/>
          <w:iCs/>
        </w:rPr>
        <w:t>Infostatyba</w:t>
      </w:r>
      <w:proofErr w:type="spellEnd"/>
      <w:r w:rsidRPr="00232B25">
        <w:rPr>
          <w:bCs/>
          <w:i/>
          <w:iCs/>
        </w:rPr>
        <w:t>“ arba registruoti institucijų, dalyvaujančių statybos užbaigimo procese, dokumentų valdymo sistemose.“</w:t>
      </w:r>
    </w:p>
    <w:p w14:paraId="2C8F8AD7" w14:textId="77777777" w:rsidR="00684FF9" w:rsidRPr="00232B25" w:rsidRDefault="00684FF9" w:rsidP="00684FF9">
      <w:pPr>
        <w:pStyle w:val="Default"/>
        <w:ind w:firstLine="567"/>
        <w:jc w:val="both"/>
        <w:rPr>
          <w:lang w:val="lt-LT"/>
        </w:rPr>
      </w:pPr>
      <w:r w:rsidRPr="00232B25">
        <w:rPr>
          <w:bCs/>
          <w:lang w:val="lt-LT"/>
        </w:rPr>
        <w:t xml:space="preserve">Jūsų pasiūlymą nagrinėsime </w:t>
      </w:r>
      <w:r w:rsidRPr="00232B25">
        <w:rPr>
          <w:lang w:val="lt-LT"/>
        </w:rPr>
        <w:t xml:space="preserve">ryšium su Įstatymo pasikeitimu  kompleksiškai  peržiūrėdami  galiojančią Reglamento redakciją. </w:t>
      </w:r>
    </w:p>
    <w:p w14:paraId="66254B4F" w14:textId="10C1424A" w:rsidR="00424E68" w:rsidRPr="00232B25" w:rsidRDefault="00424E68" w:rsidP="00684FF9">
      <w:pPr>
        <w:pStyle w:val="TableContents"/>
        <w:ind w:firstLine="567"/>
        <w:rPr>
          <w:b/>
        </w:rPr>
      </w:pPr>
      <w:r w:rsidRPr="00232B25">
        <w:rPr>
          <w:b/>
        </w:rPr>
        <w:t>Dėl 1.18  papunkčio</w:t>
      </w:r>
    </w:p>
    <w:p w14:paraId="0DF291F1" w14:textId="723CD1FA" w:rsidR="00424E68" w:rsidRPr="00232B25" w:rsidRDefault="00424E68" w:rsidP="00684FF9">
      <w:pPr>
        <w:pStyle w:val="TableContents"/>
        <w:ind w:firstLine="567"/>
        <w:rPr>
          <w:bCs/>
          <w:i/>
          <w:iCs/>
        </w:rPr>
      </w:pPr>
      <w:r w:rsidRPr="00232B25">
        <w:rPr>
          <w:bCs/>
          <w:i/>
          <w:iCs/>
        </w:rPr>
        <w:t>„Tikslinti Reglamento 78 punkto, suderinant jas su Statybos įstatymo nuostatomis, kadangi Reglamente nėra išsamiau detalizuoti taikymo praktikoje aspektai bei procedūros, o Statybos įstatymo nuostatos apskritai nenumato statinio užbaigimo dalimis galimybės.“</w:t>
      </w:r>
    </w:p>
    <w:p w14:paraId="52278188" w14:textId="44B458F1" w:rsidR="00424E68" w:rsidRPr="00232B25" w:rsidRDefault="00830BEB" w:rsidP="00684FF9">
      <w:pPr>
        <w:pStyle w:val="TableContents"/>
        <w:ind w:firstLine="567"/>
        <w:rPr>
          <w:bCs/>
          <w:i/>
          <w:iCs/>
        </w:rPr>
      </w:pPr>
      <w:r w:rsidRPr="00232B25">
        <w:rPr>
          <w:bCs/>
        </w:rPr>
        <w:t>Manome, kad 2024-01-16 įsigaliojęs Reglamento</w:t>
      </w:r>
      <w:r w:rsidR="00684FF9" w:rsidRPr="00232B25">
        <w:rPr>
          <w:bCs/>
        </w:rPr>
        <w:t xml:space="preserve">78 </w:t>
      </w:r>
      <w:r w:rsidRPr="00232B25">
        <w:rPr>
          <w:bCs/>
        </w:rPr>
        <w:t>punkto pakeitimas</w:t>
      </w:r>
      <w:r w:rsidRPr="00232B25">
        <w:rPr>
          <w:rStyle w:val="EndnoteReference"/>
          <w:bCs/>
        </w:rPr>
        <w:endnoteReference w:id="3"/>
      </w:r>
      <w:r w:rsidRPr="00232B25">
        <w:rPr>
          <w:bCs/>
        </w:rPr>
        <w:t xml:space="preserve"> </w:t>
      </w:r>
      <w:r w:rsidR="00684FF9" w:rsidRPr="00232B25">
        <w:rPr>
          <w:bCs/>
        </w:rPr>
        <w:t xml:space="preserve">atsižvelgė į šio papunkčio pasiūlymus. </w:t>
      </w:r>
      <w:r w:rsidRPr="00232B25">
        <w:rPr>
          <w:bCs/>
        </w:rPr>
        <w:t xml:space="preserve">Pagal </w:t>
      </w:r>
      <w:r w:rsidR="00684FF9" w:rsidRPr="00232B25">
        <w:rPr>
          <w:bCs/>
        </w:rPr>
        <w:t>78</w:t>
      </w:r>
      <w:r w:rsidRPr="00232B25">
        <w:rPr>
          <w:bCs/>
        </w:rPr>
        <w:t xml:space="preserve"> punkto  nuostatas</w:t>
      </w:r>
      <w:r w:rsidRPr="00232B25">
        <w:rPr>
          <w:bCs/>
          <w:i/>
          <w:iCs/>
        </w:rPr>
        <w:t xml:space="preserve"> „</w:t>
      </w:r>
      <w:r w:rsidRPr="00232B25">
        <w:rPr>
          <w:i/>
          <w:iCs/>
          <w:color w:val="000000"/>
        </w:rPr>
        <w:t xml:space="preserve">Jeigu statinio projekte, pagal kurį išduotas </w:t>
      </w:r>
      <w:r w:rsidRPr="00232B25">
        <w:rPr>
          <w:i/>
          <w:iCs/>
          <w:color w:val="000000"/>
        </w:rPr>
        <w:lastRenderedPageBreak/>
        <w:t>statybą leidžiantis dokumentas, numatyta atskirų statinių ar jų dalių statybą užbaigti ne vienu metu, statytojo pageidavimu gali būti išduodami atskiri užbaigtų statyti statinių ar jų dalių aktai ar surašomos deklaracijos, jei šie statiniai ar jų dalys atitinka esminius statinių reikalavimus ir</w:t>
      </w:r>
      <w:r w:rsidRPr="00232B25">
        <w:rPr>
          <w:b/>
          <w:bCs/>
          <w:i/>
          <w:iCs/>
          <w:color w:val="000000"/>
        </w:rPr>
        <w:t> </w:t>
      </w:r>
      <w:r w:rsidRPr="00232B25">
        <w:rPr>
          <w:i/>
          <w:iCs/>
          <w:color w:val="000000"/>
        </w:rPr>
        <w:t>gali būti naudojami pagal statinio projekte numatytą paskirtį, neatsižvelgiant, ar kitų statinio projekte suprojektuotų statinių ar jų dalių statyba užbaigta.“</w:t>
      </w:r>
    </w:p>
    <w:p w14:paraId="4212F026" w14:textId="77777777" w:rsidR="00796197" w:rsidRPr="00232B25" w:rsidRDefault="00796197" w:rsidP="00232B25">
      <w:pPr>
        <w:pStyle w:val="BodyText"/>
        <w:ind w:firstLine="0"/>
      </w:pPr>
    </w:p>
    <w:sectPr w:rsidR="00796197" w:rsidRPr="00232B25" w:rsidSect="00F376A9">
      <w:headerReference w:type="even" r:id="rId9"/>
      <w:headerReference w:type="default" r:id="rId10"/>
      <w:footerReference w:type="default" r:id="rId11"/>
      <w:footerReference w:type="first" r:id="rId12"/>
      <w:footnotePr>
        <w:pos w:val="beneathText"/>
        <w:numRestart w:val="eachPage"/>
      </w:footnotePr>
      <w:endnotePr>
        <w:numFmt w:val="decimal"/>
      </w:endnotePr>
      <w:pgSz w:w="11905" w:h="16837"/>
      <w:pgMar w:top="1134" w:right="567" w:bottom="1134" w:left="1701" w:header="567" w:footer="232"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AEE01" w14:textId="77777777" w:rsidR="00F376A9" w:rsidRDefault="00F376A9">
      <w:r>
        <w:separator/>
      </w:r>
    </w:p>
  </w:endnote>
  <w:endnote w:type="continuationSeparator" w:id="0">
    <w:p w14:paraId="39B850F4" w14:textId="77777777" w:rsidR="00F376A9" w:rsidRDefault="00F376A9">
      <w:r>
        <w:continuationSeparator/>
      </w:r>
    </w:p>
  </w:endnote>
  <w:endnote w:id="1">
    <w:p w14:paraId="6ED97FB7" w14:textId="6A06A375" w:rsidR="00D535CD" w:rsidRPr="00D535CD" w:rsidRDefault="00D535CD">
      <w:pPr>
        <w:pStyle w:val="EndnoteText"/>
        <w:rPr>
          <w:lang w:val="en-GB"/>
        </w:rPr>
      </w:pPr>
      <w:r>
        <w:rPr>
          <w:rStyle w:val="EndnoteReference"/>
        </w:rPr>
        <w:endnoteRef/>
      </w:r>
      <w:r>
        <w:t xml:space="preserve"> </w:t>
      </w:r>
      <w:hyperlink r:id="rId1" w:history="1">
        <w:r w:rsidRPr="00D535CD">
          <w:rPr>
            <w:color w:val="0000FF"/>
            <w:sz w:val="24"/>
            <w:szCs w:val="24"/>
            <w:u w:val="single"/>
          </w:rPr>
          <w:t>https://www.stt.lt/data/public/uploads/2023/11/kra-statybos-uzbaigimas-vtpsi-ir-kt.pdf</w:t>
        </w:r>
      </w:hyperlink>
    </w:p>
  </w:endnote>
  <w:endnote w:id="2">
    <w:p w14:paraId="761CE3F6" w14:textId="33531623" w:rsidR="00684FF9" w:rsidRPr="00684FF9" w:rsidRDefault="00684FF9">
      <w:pPr>
        <w:pStyle w:val="EndnoteText"/>
        <w:rPr>
          <w:lang w:val="en-GB"/>
        </w:rPr>
      </w:pPr>
      <w:r>
        <w:rPr>
          <w:rStyle w:val="EndnoteReference"/>
        </w:rPr>
        <w:endnoteRef/>
      </w:r>
      <w:r>
        <w:t xml:space="preserve"> </w:t>
      </w:r>
      <w:r w:rsidR="007D766D" w:rsidRPr="007D766D">
        <w:t>https://e-seimas.lrs.lt/portal/legalAct/lt/TAD/b9a7f222a0aa11ee8172b53a675305ab?jfwid=-9yg1wcwbd</w:t>
      </w:r>
    </w:p>
  </w:endnote>
  <w:endnote w:id="3">
    <w:p w14:paraId="030CE758" w14:textId="77777777" w:rsidR="00830BEB" w:rsidRPr="00830BEB" w:rsidRDefault="00830BEB" w:rsidP="00830BEB">
      <w:pPr>
        <w:rPr>
          <w:rFonts w:eastAsia="Times New Roman" w:cs="Times New Roman"/>
          <w:color w:val="000000"/>
          <w:sz w:val="27"/>
          <w:szCs w:val="27"/>
          <w:lang w:val="en-GB" w:eastAsia="en-GB" w:bidi="ar-SA"/>
        </w:rPr>
      </w:pPr>
      <w:r>
        <w:rPr>
          <w:rStyle w:val="EndnoteReference"/>
        </w:rPr>
        <w:endnoteRef/>
      </w:r>
      <w:r>
        <w:t xml:space="preserve"> </w:t>
      </w:r>
      <w:r w:rsidRPr="00830BEB">
        <w:rPr>
          <w:rFonts w:eastAsia="Times New Roman" w:cs="Times New Roman"/>
          <w:i/>
          <w:iCs/>
          <w:color w:val="000000"/>
          <w:sz w:val="20"/>
          <w:szCs w:val="20"/>
          <w:lang w:eastAsia="en-GB" w:bidi="ar-SA"/>
        </w:rPr>
        <w:t>Punkto pakeitimai:</w:t>
      </w:r>
    </w:p>
    <w:p w14:paraId="2113C5D4" w14:textId="77777777" w:rsidR="00830BEB" w:rsidRPr="00830BEB" w:rsidRDefault="00830BEB" w:rsidP="00830BEB">
      <w:pPr>
        <w:rPr>
          <w:rFonts w:eastAsia="Times New Roman" w:cs="Times New Roman"/>
          <w:color w:val="000000"/>
          <w:sz w:val="27"/>
          <w:szCs w:val="27"/>
          <w:lang w:val="en-GB" w:eastAsia="en-GB" w:bidi="ar-SA"/>
        </w:rPr>
      </w:pPr>
      <w:r w:rsidRPr="00830BEB">
        <w:rPr>
          <w:rFonts w:eastAsia="Times New Roman" w:cs="Times New Roman"/>
          <w:i/>
          <w:iCs/>
          <w:color w:val="000000"/>
          <w:sz w:val="20"/>
          <w:szCs w:val="20"/>
          <w:lang w:eastAsia="en-GB" w:bidi="ar-SA"/>
        </w:rPr>
        <w:t>Nr. </w:t>
      </w:r>
      <w:hyperlink r:id="rId2" w:tgtFrame="_parent" w:history="1">
        <w:r w:rsidRPr="00830BEB">
          <w:rPr>
            <w:rFonts w:eastAsia="Times New Roman" w:cs="Times New Roman"/>
            <w:i/>
            <w:iCs/>
            <w:color w:val="0000FF"/>
            <w:sz w:val="20"/>
            <w:szCs w:val="20"/>
            <w:u w:val="single"/>
            <w:lang w:eastAsia="en-GB" w:bidi="ar-SA"/>
          </w:rPr>
          <w:t>D1-18</w:t>
        </w:r>
      </w:hyperlink>
      <w:r w:rsidRPr="00830BEB">
        <w:rPr>
          <w:rFonts w:eastAsia="Times New Roman" w:cs="Times New Roman"/>
          <w:i/>
          <w:iCs/>
          <w:color w:val="000000"/>
          <w:sz w:val="20"/>
          <w:szCs w:val="20"/>
          <w:lang w:eastAsia="en-GB" w:bidi="ar-SA"/>
        </w:rPr>
        <w:t>, 2024-01-16, paskelbta TAR 2024-01-16, i. k. 2024-00622</w:t>
      </w:r>
    </w:p>
    <w:p w14:paraId="0BF6231B" w14:textId="0E992BF7" w:rsidR="00830BEB" w:rsidRDefault="00830BE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StarSymbol">
    <w:altName w:val="Courier New"/>
    <w:charset w:val="00"/>
    <w:family w:val="auto"/>
    <w:pitch w:val="variable"/>
    <w:sig w:usb0="00000003" w:usb1="10008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emonas">
    <w:panose1 w:val="02030603060206020803"/>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5E7E" w14:textId="77777777" w:rsidR="00796197" w:rsidRDefault="00796197">
    <w:pPr>
      <w:pStyle w:val="Footer"/>
      <w:jc w:val="right"/>
      <w:rPr>
        <w:rFonts w:ascii="Arial" w:hAnsi="Arial"/>
        <w:sz w:val="10"/>
        <w:lang w:val="en-US"/>
      </w:rPr>
    </w:pPr>
  </w:p>
  <w:p w14:paraId="530BE236" w14:textId="77777777" w:rsidR="00796197" w:rsidRDefault="00796197">
    <w:pPr>
      <w:pStyle w:val="Footer"/>
      <w:jc w:val="right"/>
      <w:rPr>
        <w:rFonts w:ascii="Arial" w:hAnsi="Arial"/>
        <w:sz w:val="10"/>
        <w:lang w:val="en-US"/>
      </w:rPr>
    </w:pPr>
  </w:p>
  <w:p w14:paraId="09F214AD" w14:textId="77777777" w:rsidR="00796197" w:rsidRDefault="00796197">
    <w:pPr>
      <w:pStyle w:val="Footer"/>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465D4" w14:textId="77777777" w:rsidR="00796197" w:rsidRPr="00796197" w:rsidRDefault="00796197" w:rsidP="0053170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18AD7" w14:textId="77777777" w:rsidR="00F376A9" w:rsidRDefault="00F376A9">
      <w:r>
        <w:separator/>
      </w:r>
    </w:p>
  </w:footnote>
  <w:footnote w:type="continuationSeparator" w:id="0">
    <w:p w14:paraId="1839DAAA" w14:textId="77777777" w:rsidR="00F376A9" w:rsidRDefault="00F37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E32A" w14:textId="77777777"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end"/>
    </w:r>
  </w:p>
  <w:p w14:paraId="135AC0AA" w14:textId="77777777" w:rsidR="00796197" w:rsidRDefault="0079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6C26" w14:textId="77777777" w:rsidR="00796197" w:rsidRDefault="00D12A9A">
    <w:pPr>
      <w:pStyle w:val="Header"/>
      <w:framePr w:wrap="around" w:vAnchor="text" w:hAnchor="margin" w:xAlign="center" w:y="1"/>
      <w:rPr>
        <w:rStyle w:val="PageNumber"/>
      </w:rPr>
    </w:pPr>
    <w:r>
      <w:rPr>
        <w:rStyle w:val="PageNumber"/>
      </w:rPr>
      <w:fldChar w:fldCharType="begin"/>
    </w:r>
    <w:r w:rsidR="00796197">
      <w:rPr>
        <w:rStyle w:val="PageNumber"/>
      </w:rPr>
      <w:instrText xml:space="preserve">PAGE  </w:instrText>
    </w:r>
    <w:r>
      <w:rPr>
        <w:rStyle w:val="PageNumber"/>
      </w:rPr>
      <w:fldChar w:fldCharType="separate"/>
    </w:r>
    <w:r w:rsidR="00961D8B">
      <w:rPr>
        <w:rStyle w:val="PageNumber"/>
        <w:noProof/>
      </w:rPr>
      <w:t>2</w:t>
    </w:r>
    <w:r>
      <w:rPr>
        <w:rStyle w:val="PageNumber"/>
      </w:rPr>
      <w:fldChar w:fldCharType="end"/>
    </w:r>
  </w:p>
  <w:p w14:paraId="1EF9B30A" w14:textId="77777777" w:rsidR="00796197" w:rsidRDefault="0079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32768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A9"/>
    <w:rsid w:val="0000219E"/>
    <w:rsid w:val="00053B27"/>
    <w:rsid w:val="00096759"/>
    <w:rsid w:val="000B5B3D"/>
    <w:rsid w:val="000F3CA3"/>
    <w:rsid w:val="000F3D9D"/>
    <w:rsid w:val="001033BB"/>
    <w:rsid w:val="001208E3"/>
    <w:rsid w:val="00121D30"/>
    <w:rsid w:val="00134177"/>
    <w:rsid w:val="0014536E"/>
    <w:rsid w:val="00152C1F"/>
    <w:rsid w:val="00155D04"/>
    <w:rsid w:val="001735BD"/>
    <w:rsid w:val="00173BFB"/>
    <w:rsid w:val="0017509E"/>
    <w:rsid w:val="00176658"/>
    <w:rsid w:val="001A0121"/>
    <w:rsid w:val="00205479"/>
    <w:rsid w:val="0021616F"/>
    <w:rsid w:val="00223812"/>
    <w:rsid w:val="0022426A"/>
    <w:rsid w:val="00232B25"/>
    <w:rsid w:val="00254B9A"/>
    <w:rsid w:val="00262424"/>
    <w:rsid w:val="002811B6"/>
    <w:rsid w:val="002824A1"/>
    <w:rsid w:val="00292187"/>
    <w:rsid w:val="00292FED"/>
    <w:rsid w:val="002A719F"/>
    <w:rsid w:val="002C0B5C"/>
    <w:rsid w:val="002C133B"/>
    <w:rsid w:val="002C31C0"/>
    <w:rsid w:val="00304E72"/>
    <w:rsid w:val="0031763E"/>
    <w:rsid w:val="00324F3B"/>
    <w:rsid w:val="00342850"/>
    <w:rsid w:val="003728E1"/>
    <w:rsid w:val="00385479"/>
    <w:rsid w:val="003C3DBF"/>
    <w:rsid w:val="003D6511"/>
    <w:rsid w:val="00423C0B"/>
    <w:rsid w:val="00424E68"/>
    <w:rsid w:val="00462A82"/>
    <w:rsid w:val="00481645"/>
    <w:rsid w:val="00507104"/>
    <w:rsid w:val="00523699"/>
    <w:rsid w:val="0053170E"/>
    <w:rsid w:val="00542551"/>
    <w:rsid w:val="00585B04"/>
    <w:rsid w:val="005920E0"/>
    <w:rsid w:val="005D2915"/>
    <w:rsid w:val="005F21C5"/>
    <w:rsid w:val="00604869"/>
    <w:rsid w:val="00645CC7"/>
    <w:rsid w:val="00674FB5"/>
    <w:rsid w:val="00684FF9"/>
    <w:rsid w:val="006919BD"/>
    <w:rsid w:val="006C6062"/>
    <w:rsid w:val="006E25D1"/>
    <w:rsid w:val="006E618B"/>
    <w:rsid w:val="0073469A"/>
    <w:rsid w:val="00762304"/>
    <w:rsid w:val="00796197"/>
    <w:rsid w:val="007D766D"/>
    <w:rsid w:val="007E464C"/>
    <w:rsid w:val="00830BEB"/>
    <w:rsid w:val="00882860"/>
    <w:rsid w:val="00893A93"/>
    <w:rsid w:val="008D4264"/>
    <w:rsid w:val="009210E7"/>
    <w:rsid w:val="00925320"/>
    <w:rsid w:val="00935919"/>
    <w:rsid w:val="00961D8B"/>
    <w:rsid w:val="009975B2"/>
    <w:rsid w:val="009E794B"/>
    <w:rsid w:val="00A04E55"/>
    <w:rsid w:val="00A054B4"/>
    <w:rsid w:val="00A1228F"/>
    <w:rsid w:val="00A15D3D"/>
    <w:rsid w:val="00A27E74"/>
    <w:rsid w:val="00A47194"/>
    <w:rsid w:val="00A65FD0"/>
    <w:rsid w:val="00A713A1"/>
    <w:rsid w:val="00A93C31"/>
    <w:rsid w:val="00AB2828"/>
    <w:rsid w:val="00AE3C8F"/>
    <w:rsid w:val="00B551D1"/>
    <w:rsid w:val="00B71356"/>
    <w:rsid w:val="00B840EE"/>
    <w:rsid w:val="00C02D0C"/>
    <w:rsid w:val="00C035C6"/>
    <w:rsid w:val="00C34A9B"/>
    <w:rsid w:val="00C4121E"/>
    <w:rsid w:val="00C60253"/>
    <w:rsid w:val="00C74037"/>
    <w:rsid w:val="00C817BA"/>
    <w:rsid w:val="00C8734A"/>
    <w:rsid w:val="00CF2AD6"/>
    <w:rsid w:val="00CF38A6"/>
    <w:rsid w:val="00D032CD"/>
    <w:rsid w:val="00D12A9A"/>
    <w:rsid w:val="00D32D6D"/>
    <w:rsid w:val="00D447B9"/>
    <w:rsid w:val="00D500DA"/>
    <w:rsid w:val="00D5268A"/>
    <w:rsid w:val="00D535CD"/>
    <w:rsid w:val="00DA08F7"/>
    <w:rsid w:val="00DB23FC"/>
    <w:rsid w:val="00DD601A"/>
    <w:rsid w:val="00E10EA1"/>
    <w:rsid w:val="00E33BE9"/>
    <w:rsid w:val="00E70367"/>
    <w:rsid w:val="00E779A1"/>
    <w:rsid w:val="00E81E92"/>
    <w:rsid w:val="00EB4F00"/>
    <w:rsid w:val="00EC756A"/>
    <w:rsid w:val="00EE1D04"/>
    <w:rsid w:val="00EE56B1"/>
    <w:rsid w:val="00F0073F"/>
    <w:rsid w:val="00F03E7A"/>
    <w:rsid w:val="00F153E1"/>
    <w:rsid w:val="00F31208"/>
    <w:rsid w:val="00F376A9"/>
    <w:rsid w:val="00F52153"/>
    <w:rsid w:val="00F52F83"/>
    <w:rsid w:val="00F72EFA"/>
    <w:rsid w:val="00F87022"/>
    <w:rsid w:val="00F90C1B"/>
    <w:rsid w:val="00FC7066"/>
    <w:rsid w:val="00FE2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F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8F"/>
    <w:pPr>
      <w:jc w:val="both"/>
    </w:pPr>
    <w:rPr>
      <w:rFonts w:eastAsia="Andale Sans UI" w:cs="Tahoma"/>
      <w:sz w:val="24"/>
      <w:szCs w:val="24"/>
      <w:lang w:eastAsia="en-US" w:bidi="en-US"/>
    </w:rPr>
  </w:style>
  <w:style w:type="paragraph" w:styleId="Heading1">
    <w:name w:val="heading 1"/>
    <w:basedOn w:val="Heading"/>
    <w:next w:val="BodyText"/>
    <w:qFormat/>
    <w:rsid w:val="00AE3C8F"/>
    <w:pPr>
      <w:spacing w:before="283" w:after="283"/>
      <w:outlineLvl w:val="0"/>
    </w:pPr>
    <w:rPr>
      <w:bCs/>
      <w:sz w:val="28"/>
      <w:szCs w:val="32"/>
      <w:lang w:val="lt-LT"/>
    </w:rPr>
  </w:style>
  <w:style w:type="paragraph" w:styleId="Heading2">
    <w:name w:val="heading 2"/>
    <w:basedOn w:val="Heading"/>
    <w:next w:val="BodyText"/>
    <w:qFormat/>
    <w:rsid w:val="00AE3C8F"/>
    <w:pPr>
      <w:outlineLvl w:val="1"/>
    </w:pPr>
    <w:rPr>
      <w:bCs/>
      <w:iCs/>
      <w:lang w:val="lt-LT"/>
    </w:rPr>
  </w:style>
  <w:style w:type="paragraph" w:styleId="Heading3">
    <w:name w:val="heading 3"/>
    <w:basedOn w:val="Heading"/>
    <w:next w:val="BodyText"/>
    <w:qFormat/>
    <w:rsid w:val="00AE3C8F"/>
    <w:pPr>
      <w:outlineLvl w:val="2"/>
    </w:pPr>
    <w:rPr>
      <w:bCs/>
      <w:sz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AE3C8F"/>
  </w:style>
  <w:style w:type="character" w:styleId="PageNumber">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yperlink">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BodyText">
    <w:name w:val="Body Text"/>
    <w:basedOn w:val="Normal"/>
    <w:rsid w:val="00AE3C8F"/>
    <w:pPr>
      <w:ind w:firstLine="567"/>
    </w:pPr>
  </w:style>
  <w:style w:type="paragraph" w:customStyle="1" w:styleId="Marginalia">
    <w:name w:val="Marginalia"/>
    <w:basedOn w:val="BodyText"/>
    <w:rsid w:val="00AE3C8F"/>
    <w:pPr>
      <w:ind w:left="2268" w:firstLine="0"/>
    </w:pPr>
  </w:style>
  <w:style w:type="paragraph" w:customStyle="1" w:styleId="Heading">
    <w:name w:val="Heading"/>
    <w:next w:val="BodyText"/>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List">
    <w:name w:val="List"/>
    <w:basedOn w:val="BodyText"/>
    <w:rsid w:val="00AE3C8F"/>
  </w:style>
  <w:style w:type="paragraph" w:customStyle="1" w:styleId="Numbering1">
    <w:name w:val="Numbering 1"/>
    <w:basedOn w:val="List"/>
    <w:rsid w:val="00AE3C8F"/>
  </w:style>
  <w:style w:type="paragraph" w:customStyle="1" w:styleId="Numbering1Cont">
    <w:name w:val="Numbering 1 Cont."/>
    <w:basedOn w:val="List"/>
    <w:rsid w:val="00AE3C8F"/>
    <w:pPr>
      <w:spacing w:after="120"/>
      <w:ind w:left="360" w:firstLine="0"/>
    </w:pPr>
  </w:style>
  <w:style w:type="paragraph" w:customStyle="1" w:styleId="List1Start">
    <w:name w:val="List 1 Start"/>
    <w:basedOn w:val="List"/>
    <w:rsid w:val="00AE3C8F"/>
    <w:pPr>
      <w:spacing w:before="240" w:after="120"/>
      <w:ind w:left="360" w:hanging="360"/>
    </w:pPr>
  </w:style>
  <w:style w:type="paragraph" w:customStyle="1" w:styleId="List1">
    <w:name w:val="List 1"/>
    <w:basedOn w:val="List"/>
    <w:rsid w:val="00AE3C8F"/>
    <w:pPr>
      <w:spacing w:after="120"/>
      <w:ind w:left="360" w:hanging="360"/>
    </w:pPr>
  </w:style>
  <w:style w:type="paragraph" w:customStyle="1" w:styleId="List1End">
    <w:name w:val="List 1 End"/>
    <w:basedOn w:val="List"/>
    <w:rsid w:val="00AE3C8F"/>
    <w:pPr>
      <w:spacing w:after="240"/>
      <w:ind w:left="360" w:hanging="360"/>
    </w:pPr>
  </w:style>
  <w:style w:type="paragraph" w:customStyle="1" w:styleId="List1Cont">
    <w:name w:val="List 1 Cont."/>
    <w:basedOn w:val="List"/>
    <w:rsid w:val="00AE3C8F"/>
    <w:pPr>
      <w:spacing w:after="120"/>
      <w:ind w:left="360" w:firstLine="0"/>
    </w:pPr>
  </w:style>
  <w:style w:type="paragraph" w:customStyle="1" w:styleId="List2Start">
    <w:name w:val="List 2 Start"/>
    <w:basedOn w:val="List"/>
    <w:rsid w:val="00AE3C8F"/>
    <w:pPr>
      <w:spacing w:before="240" w:after="120"/>
      <w:ind w:left="720" w:hanging="360"/>
    </w:pPr>
  </w:style>
  <w:style w:type="paragraph" w:styleId="List2">
    <w:name w:val="List 2"/>
    <w:basedOn w:val="List"/>
    <w:rsid w:val="00AE3C8F"/>
    <w:pPr>
      <w:spacing w:after="120"/>
      <w:ind w:left="720" w:hanging="360"/>
    </w:pPr>
  </w:style>
  <w:style w:type="paragraph" w:customStyle="1" w:styleId="List2End">
    <w:name w:val="List 2 End"/>
    <w:basedOn w:val="List"/>
    <w:rsid w:val="00AE3C8F"/>
    <w:pPr>
      <w:spacing w:after="240"/>
      <w:ind w:left="720" w:hanging="360"/>
    </w:pPr>
  </w:style>
  <w:style w:type="paragraph" w:customStyle="1" w:styleId="List2Cont">
    <w:name w:val="List 2 Cont."/>
    <w:basedOn w:val="List"/>
    <w:rsid w:val="00AE3C8F"/>
    <w:pPr>
      <w:spacing w:after="120"/>
      <w:ind w:left="720" w:firstLine="0"/>
    </w:pPr>
  </w:style>
  <w:style w:type="paragraph" w:styleId="List3">
    <w:name w:val="List 3"/>
    <w:basedOn w:val="List"/>
    <w:rsid w:val="00AE3C8F"/>
    <w:pPr>
      <w:spacing w:after="120"/>
      <w:ind w:left="1080" w:hanging="360"/>
    </w:pPr>
  </w:style>
  <w:style w:type="paragraph" w:styleId="Header">
    <w:name w:val="header"/>
    <w:basedOn w:val="Normal"/>
    <w:rsid w:val="00AE3C8F"/>
    <w:pPr>
      <w:suppressLineNumbers/>
      <w:tabs>
        <w:tab w:val="center" w:pos="4800"/>
        <w:tab w:val="right" w:pos="9601"/>
      </w:tabs>
    </w:pPr>
  </w:style>
  <w:style w:type="paragraph" w:styleId="Footer">
    <w:name w:val="footer"/>
    <w:basedOn w:val="Normal"/>
    <w:rsid w:val="00AE3C8F"/>
    <w:pPr>
      <w:suppressLineNumbers/>
      <w:tabs>
        <w:tab w:val="center" w:pos="4800"/>
        <w:tab w:val="right" w:pos="9601"/>
      </w:tabs>
    </w:pPr>
  </w:style>
  <w:style w:type="paragraph" w:customStyle="1" w:styleId="TableContents">
    <w:name w:val="Table Contents"/>
    <w:basedOn w:val="Normal"/>
    <w:rsid w:val="00AE3C8F"/>
    <w:pPr>
      <w:suppressLineNumbers/>
    </w:pPr>
  </w:style>
  <w:style w:type="paragraph" w:customStyle="1" w:styleId="TableHeading">
    <w:name w:val="Table Heading"/>
    <w:basedOn w:val="TableContents"/>
    <w:rsid w:val="00AE3C8F"/>
    <w:pPr>
      <w:jc w:val="center"/>
    </w:pPr>
    <w:rPr>
      <w:b/>
      <w:bCs/>
      <w:i/>
      <w:iCs/>
    </w:rPr>
  </w:style>
  <w:style w:type="paragraph" w:styleId="Caption">
    <w:name w:val="caption"/>
    <w:basedOn w:val="Normal"/>
    <w:qFormat/>
    <w:rsid w:val="00AE3C8F"/>
    <w:pPr>
      <w:suppressLineNumbers/>
      <w:spacing w:before="120" w:after="120"/>
    </w:pPr>
    <w:rPr>
      <w:i/>
      <w:iCs/>
      <w:sz w:val="20"/>
      <w:szCs w:val="20"/>
    </w:rPr>
  </w:style>
  <w:style w:type="paragraph" w:customStyle="1" w:styleId="Table">
    <w:name w:val="Table"/>
    <w:basedOn w:val="Caption"/>
    <w:rsid w:val="00AE3C8F"/>
    <w:pPr>
      <w:spacing w:before="0" w:after="0"/>
    </w:pPr>
  </w:style>
  <w:style w:type="paragraph" w:customStyle="1" w:styleId="Index">
    <w:name w:val="Index"/>
    <w:basedOn w:val="Normal"/>
    <w:rsid w:val="00AE3C8F"/>
    <w:pPr>
      <w:suppressLineNumbers/>
    </w:pPr>
  </w:style>
  <w:style w:type="paragraph" w:customStyle="1" w:styleId="HorizontalLine">
    <w:name w:val="Horizontal Line"/>
    <w:basedOn w:val="Normal"/>
    <w:next w:val="BodyText"/>
    <w:rsid w:val="00AE3C8F"/>
    <w:pPr>
      <w:suppressLineNumbers/>
      <w:pBdr>
        <w:bottom w:val="double" w:sz="1" w:space="0" w:color="808080"/>
      </w:pBdr>
      <w:spacing w:after="283"/>
    </w:pPr>
    <w:rPr>
      <w:sz w:val="12"/>
      <w:szCs w:val="12"/>
    </w:rPr>
  </w:style>
  <w:style w:type="paragraph" w:styleId="BalloonText">
    <w:name w:val="Balloon Text"/>
    <w:basedOn w:val="Normal"/>
    <w:link w:val="BalloonTextChar"/>
    <w:uiPriority w:val="99"/>
    <w:semiHidden/>
    <w:unhideWhenUsed/>
    <w:rsid w:val="00304E72"/>
    <w:rPr>
      <w:rFonts w:ascii="Tahoma" w:hAnsi="Tahoma"/>
      <w:sz w:val="16"/>
      <w:szCs w:val="16"/>
    </w:rPr>
  </w:style>
  <w:style w:type="character" w:customStyle="1" w:styleId="BalloonTextChar">
    <w:name w:val="Balloon Text Char"/>
    <w:link w:val="BalloonText"/>
    <w:uiPriority w:val="99"/>
    <w:semiHidden/>
    <w:rsid w:val="00304E72"/>
    <w:rPr>
      <w:rFonts w:ascii="Tahoma" w:eastAsia="Andale Sans UI" w:hAnsi="Tahoma" w:cs="Tahoma"/>
      <w:sz w:val="16"/>
      <w:szCs w:val="16"/>
      <w:lang w:eastAsia="en-US" w:bidi="en-US"/>
    </w:rPr>
  </w:style>
  <w:style w:type="paragraph" w:customStyle="1" w:styleId="paragraph">
    <w:name w:val="paragraph"/>
    <w:basedOn w:val="Normal"/>
    <w:rsid w:val="00173BFB"/>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DefaultParagraphFont"/>
    <w:rsid w:val="00173BFB"/>
  </w:style>
  <w:style w:type="character" w:customStyle="1" w:styleId="eop">
    <w:name w:val="eop"/>
    <w:basedOn w:val="DefaultParagraphFont"/>
    <w:rsid w:val="00173BFB"/>
  </w:style>
  <w:style w:type="paragraph" w:styleId="FootnoteText">
    <w:name w:val="footnote text"/>
    <w:basedOn w:val="Normal"/>
    <w:link w:val="FootnoteTextChar"/>
    <w:uiPriority w:val="99"/>
    <w:semiHidden/>
    <w:unhideWhenUsed/>
    <w:rsid w:val="00F376A9"/>
    <w:rPr>
      <w:sz w:val="20"/>
      <w:szCs w:val="20"/>
    </w:rPr>
  </w:style>
  <w:style w:type="character" w:customStyle="1" w:styleId="FootnoteTextChar">
    <w:name w:val="Footnote Text Char"/>
    <w:basedOn w:val="DefaultParagraphFont"/>
    <w:link w:val="FootnoteText"/>
    <w:uiPriority w:val="99"/>
    <w:semiHidden/>
    <w:rsid w:val="00F376A9"/>
    <w:rPr>
      <w:rFonts w:eastAsia="Andale Sans UI" w:cs="Tahoma"/>
      <w:lang w:eastAsia="en-US" w:bidi="en-US"/>
    </w:rPr>
  </w:style>
  <w:style w:type="character" w:styleId="FootnoteReference">
    <w:name w:val="footnote reference"/>
    <w:aliases w:val="fr,BVI fnr,ftref,Footnote symbol,16 Point,Superscript 6 Point,Voetnootverwijzing,Times 10 Point,Exposant 3 Point,Footnote Reference Superscript,Footnote number,o,Footnotemark,FR,Footnotemark1,Footnotemark2"/>
    <w:semiHidden/>
    <w:unhideWhenUsed/>
    <w:rsid w:val="00F376A9"/>
    <w:rPr>
      <w:vertAlign w:val="superscript"/>
    </w:rPr>
  </w:style>
  <w:style w:type="paragraph" w:customStyle="1" w:styleId="Default">
    <w:name w:val="Default"/>
    <w:rsid w:val="00604869"/>
    <w:pPr>
      <w:autoSpaceDE w:val="0"/>
      <w:autoSpaceDN w:val="0"/>
      <w:adjustRightInd w:val="0"/>
    </w:pPr>
    <w:rPr>
      <w:color w:val="000000"/>
      <w:sz w:val="24"/>
      <w:szCs w:val="24"/>
      <w:lang w:val="en-GB"/>
    </w:rPr>
  </w:style>
  <w:style w:type="paragraph" w:customStyle="1" w:styleId="zStyle-1">
    <w:name w:val="z_Style-1"/>
    <w:basedOn w:val="Normal"/>
    <w:qFormat/>
    <w:rsid w:val="005F21C5"/>
    <w:pPr>
      <w:tabs>
        <w:tab w:val="left" w:pos="567"/>
        <w:tab w:val="left" w:pos="851"/>
        <w:tab w:val="left" w:pos="1418"/>
      </w:tabs>
      <w:ind w:firstLine="567"/>
    </w:pPr>
    <w:rPr>
      <w:rFonts w:eastAsia="Times New Roman" w:cs="Times New Roman"/>
      <w:szCs w:val="20"/>
      <w:lang w:eastAsia="lt-LT" w:bidi="ar-SA"/>
    </w:rPr>
  </w:style>
  <w:style w:type="paragraph" w:styleId="EndnoteText">
    <w:name w:val="endnote text"/>
    <w:basedOn w:val="Normal"/>
    <w:link w:val="EndnoteTextChar"/>
    <w:uiPriority w:val="99"/>
    <w:semiHidden/>
    <w:unhideWhenUsed/>
    <w:rsid w:val="001208E3"/>
    <w:rPr>
      <w:sz w:val="20"/>
      <w:szCs w:val="20"/>
    </w:rPr>
  </w:style>
  <w:style w:type="character" w:customStyle="1" w:styleId="EndnoteTextChar">
    <w:name w:val="Endnote Text Char"/>
    <w:basedOn w:val="DefaultParagraphFont"/>
    <w:link w:val="EndnoteText"/>
    <w:uiPriority w:val="99"/>
    <w:semiHidden/>
    <w:rsid w:val="001208E3"/>
    <w:rPr>
      <w:rFonts w:eastAsia="Andale Sans UI" w:cs="Tahoma"/>
      <w:lang w:eastAsia="en-US" w:bidi="en-US"/>
    </w:rPr>
  </w:style>
  <w:style w:type="character" w:styleId="EndnoteReference">
    <w:name w:val="endnote reference"/>
    <w:basedOn w:val="DefaultParagraphFont"/>
    <w:uiPriority w:val="99"/>
    <w:semiHidden/>
    <w:unhideWhenUsed/>
    <w:rsid w:val="001208E3"/>
    <w:rPr>
      <w:vertAlign w:val="superscript"/>
    </w:rPr>
  </w:style>
  <w:style w:type="character" w:styleId="UnresolvedMention">
    <w:name w:val="Unresolved Mention"/>
    <w:basedOn w:val="DefaultParagraphFont"/>
    <w:uiPriority w:val="99"/>
    <w:semiHidden/>
    <w:unhideWhenUsed/>
    <w:rsid w:val="001208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1373">
      <w:bodyDiv w:val="1"/>
      <w:marLeft w:val="0"/>
      <w:marRight w:val="0"/>
      <w:marTop w:val="0"/>
      <w:marBottom w:val="0"/>
      <w:divBdr>
        <w:top w:val="none" w:sz="0" w:space="0" w:color="auto"/>
        <w:left w:val="none" w:sz="0" w:space="0" w:color="auto"/>
        <w:bottom w:val="none" w:sz="0" w:space="0" w:color="auto"/>
        <w:right w:val="none" w:sz="0" w:space="0" w:color="auto"/>
      </w:divBdr>
    </w:div>
    <w:div w:id="1047607096">
      <w:bodyDiv w:val="1"/>
      <w:marLeft w:val="0"/>
      <w:marRight w:val="0"/>
      <w:marTop w:val="0"/>
      <w:marBottom w:val="0"/>
      <w:divBdr>
        <w:top w:val="none" w:sz="0" w:space="0" w:color="auto"/>
        <w:left w:val="none" w:sz="0" w:space="0" w:color="auto"/>
        <w:bottom w:val="none" w:sz="0" w:space="0" w:color="auto"/>
        <w:right w:val="none" w:sz="0" w:space="0" w:color="auto"/>
      </w:divBdr>
      <w:divsChild>
        <w:div w:id="1471107">
          <w:marLeft w:val="0"/>
          <w:marRight w:val="0"/>
          <w:marTop w:val="0"/>
          <w:marBottom w:val="0"/>
          <w:divBdr>
            <w:top w:val="none" w:sz="0" w:space="0" w:color="auto"/>
            <w:left w:val="none" w:sz="0" w:space="0" w:color="auto"/>
            <w:bottom w:val="none" w:sz="0" w:space="0" w:color="auto"/>
            <w:right w:val="none" w:sz="0" w:space="0" w:color="auto"/>
          </w:divBdr>
          <w:divsChild>
            <w:div w:id="890269677">
              <w:marLeft w:val="0"/>
              <w:marRight w:val="0"/>
              <w:marTop w:val="0"/>
              <w:marBottom w:val="0"/>
              <w:divBdr>
                <w:top w:val="none" w:sz="0" w:space="0" w:color="auto"/>
                <w:left w:val="none" w:sz="0" w:space="0" w:color="auto"/>
                <w:bottom w:val="none" w:sz="0" w:space="0" w:color="auto"/>
                <w:right w:val="none" w:sz="0" w:space="0" w:color="auto"/>
              </w:divBdr>
              <w:divsChild>
                <w:div w:id="101926381">
                  <w:marLeft w:val="0"/>
                  <w:marRight w:val="0"/>
                  <w:marTop w:val="0"/>
                  <w:marBottom w:val="0"/>
                  <w:divBdr>
                    <w:top w:val="none" w:sz="0" w:space="0" w:color="auto"/>
                    <w:left w:val="none" w:sz="0" w:space="0" w:color="auto"/>
                    <w:bottom w:val="none" w:sz="0" w:space="0" w:color="auto"/>
                    <w:right w:val="none" w:sz="0" w:space="0" w:color="auto"/>
                  </w:divBdr>
                  <w:divsChild>
                    <w:div w:id="64573988">
                      <w:marLeft w:val="0"/>
                      <w:marRight w:val="0"/>
                      <w:marTop w:val="0"/>
                      <w:marBottom w:val="0"/>
                      <w:divBdr>
                        <w:top w:val="none" w:sz="0" w:space="0" w:color="auto"/>
                        <w:left w:val="none" w:sz="0" w:space="0" w:color="auto"/>
                        <w:bottom w:val="none" w:sz="0" w:space="0" w:color="auto"/>
                        <w:right w:val="none" w:sz="0" w:space="0" w:color="auto"/>
                      </w:divBdr>
                      <w:divsChild>
                        <w:div w:id="852109541">
                          <w:marLeft w:val="0"/>
                          <w:marRight w:val="0"/>
                          <w:marTop w:val="0"/>
                          <w:marBottom w:val="0"/>
                          <w:divBdr>
                            <w:top w:val="none" w:sz="0" w:space="0" w:color="auto"/>
                            <w:left w:val="none" w:sz="0" w:space="0" w:color="auto"/>
                            <w:bottom w:val="none" w:sz="0" w:space="0" w:color="auto"/>
                            <w:right w:val="none" w:sz="0" w:space="0" w:color="auto"/>
                          </w:divBdr>
                        </w:div>
                        <w:div w:id="1552883672">
                          <w:marLeft w:val="0"/>
                          <w:marRight w:val="0"/>
                          <w:marTop w:val="0"/>
                          <w:marBottom w:val="0"/>
                          <w:divBdr>
                            <w:top w:val="none" w:sz="0" w:space="0" w:color="auto"/>
                            <w:left w:val="none" w:sz="0" w:space="0" w:color="auto"/>
                            <w:bottom w:val="none" w:sz="0" w:space="0" w:color="auto"/>
                            <w:right w:val="none" w:sz="0" w:space="0" w:color="auto"/>
                          </w:divBdr>
                        </w:div>
                        <w:div w:id="867256009">
                          <w:marLeft w:val="0"/>
                          <w:marRight w:val="0"/>
                          <w:marTop w:val="0"/>
                          <w:marBottom w:val="0"/>
                          <w:divBdr>
                            <w:top w:val="none" w:sz="0" w:space="0" w:color="auto"/>
                            <w:left w:val="none" w:sz="0" w:space="0" w:color="auto"/>
                            <w:bottom w:val="none" w:sz="0" w:space="0" w:color="auto"/>
                            <w:right w:val="none" w:sz="0" w:space="0" w:color="auto"/>
                          </w:divBdr>
                        </w:div>
                        <w:div w:id="748229918">
                          <w:marLeft w:val="0"/>
                          <w:marRight w:val="0"/>
                          <w:marTop w:val="0"/>
                          <w:marBottom w:val="0"/>
                          <w:divBdr>
                            <w:top w:val="none" w:sz="0" w:space="0" w:color="auto"/>
                            <w:left w:val="none" w:sz="0" w:space="0" w:color="auto"/>
                            <w:bottom w:val="none" w:sz="0" w:space="0" w:color="auto"/>
                            <w:right w:val="none" w:sz="0" w:space="0" w:color="auto"/>
                          </w:divBdr>
                        </w:div>
                        <w:div w:id="549851342">
                          <w:marLeft w:val="0"/>
                          <w:marRight w:val="0"/>
                          <w:marTop w:val="0"/>
                          <w:marBottom w:val="0"/>
                          <w:divBdr>
                            <w:top w:val="none" w:sz="0" w:space="0" w:color="auto"/>
                            <w:left w:val="none" w:sz="0" w:space="0" w:color="auto"/>
                            <w:bottom w:val="none" w:sz="0" w:space="0" w:color="auto"/>
                            <w:right w:val="none" w:sz="0" w:space="0" w:color="auto"/>
                          </w:divBdr>
                        </w:div>
                        <w:div w:id="757478942">
                          <w:marLeft w:val="0"/>
                          <w:marRight w:val="0"/>
                          <w:marTop w:val="0"/>
                          <w:marBottom w:val="0"/>
                          <w:divBdr>
                            <w:top w:val="none" w:sz="0" w:space="0" w:color="auto"/>
                            <w:left w:val="none" w:sz="0" w:space="0" w:color="auto"/>
                            <w:bottom w:val="none" w:sz="0" w:space="0" w:color="auto"/>
                            <w:right w:val="none" w:sz="0" w:space="0" w:color="auto"/>
                          </w:divBdr>
                        </w:div>
                        <w:div w:id="1198469755">
                          <w:marLeft w:val="0"/>
                          <w:marRight w:val="0"/>
                          <w:marTop w:val="0"/>
                          <w:marBottom w:val="0"/>
                          <w:divBdr>
                            <w:top w:val="none" w:sz="0" w:space="0" w:color="auto"/>
                            <w:left w:val="none" w:sz="0" w:space="0" w:color="auto"/>
                            <w:bottom w:val="none" w:sz="0" w:space="0" w:color="auto"/>
                            <w:right w:val="none" w:sz="0" w:space="0" w:color="auto"/>
                          </w:divBdr>
                        </w:div>
                        <w:div w:id="866648924">
                          <w:marLeft w:val="0"/>
                          <w:marRight w:val="0"/>
                          <w:marTop w:val="0"/>
                          <w:marBottom w:val="0"/>
                          <w:divBdr>
                            <w:top w:val="none" w:sz="0" w:space="0" w:color="auto"/>
                            <w:left w:val="none" w:sz="0" w:space="0" w:color="auto"/>
                            <w:bottom w:val="none" w:sz="0" w:space="0" w:color="auto"/>
                            <w:right w:val="none" w:sz="0" w:space="0" w:color="auto"/>
                          </w:divBdr>
                        </w:div>
                        <w:div w:id="1849978939">
                          <w:marLeft w:val="0"/>
                          <w:marRight w:val="0"/>
                          <w:marTop w:val="0"/>
                          <w:marBottom w:val="0"/>
                          <w:divBdr>
                            <w:top w:val="none" w:sz="0" w:space="0" w:color="auto"/>
                            <w:left w:val="none" w:sz="0" w:space="0" w:color="auto"/>
                            <w:bottom w:val="none" w:sz="0" w:space="0" w:color="auto"/>
                            <w:right w:val="none" w:sz="0" w:space="0" w:color="auto"/>
                          </w:divBdr>
                        </w:div>
                        <w:div w:id="1052775629">
                          <w:marLeft w:val="0"/>
                          <w:marRight w:val="0"/>
                          <w:marTop w:val="0"/>
                          <w:marBottom w:val="0"/>
                          <w:divBdr>
                            <w:top w:val="none" w:sz="0" w:space="0" w:color="auto"/>
                            <w:left w:val="none" w:sz="0" w:space="0" w:color="auto"/>
                            <w:bottom w:val="none" w:sz="0" w:space="0" w:color="auto"/>
                            <w:right w:val="none" w:sz="0" w:space="0" w:color="auto"/>
                          </w:divBdr>
                        </w:div>
                        <w:div w:id="67390408">
                          <w:marLeft w:val="0"/>
                          <w:marRight w:val="0"/>
                          <w:marTop w:val="0"/>
                          <w:marBottom w:val="0"/>
                          <w:divBdr>
                            <w:top w:val="none" w:sz="0" w:space="0" w:color="auto"/>
                            <w:left w:val="none" w:sz="0" w:space="0" w:color="auto"/>
                            <w:bottom w:val="none" w:sz="0" w:space="0" w:color="auto"/>
                            <w:right w:val="none" w:sz="0" w:space="0" w:color="auto"/>
                          </w:divBdr>
                        </w:div>
                        <w:div w:id="1401253433">
                          <w:marLeft w:val="0"/>
                          <w:marRight w:val="0"/>
                          <w:marTop w:val="0"/>
                          <w:marBottom w:val="0"/>
                          <w:divBdr>
                            <w:top w:val="none" w:sz="0" w:space="0" w:color="auto"/>
                            <w:left w:val="none" w:sz="0" w:space="0" w:color="auto"/>
                            <w:bottom w:val="none" w:sz="0" w:space="0" w:color="auto"/>
                            <w:right w:val="none" w:sz="0" w:space="0" w:color="auto"/>
                          </w:divBdr>
                        </w:div>
                        <w:div w:id="432169438">
                          <w:marLeft w:val="0"/>
                          <w:marRight w:val="0"/>
                          <w:marTop w:val="0"/>
                          <w:marBottom w:val="0"/>
                          <w:divBdr>
                            <w:top w:val="none" w:sz="0" w:space="0" w:color="auto"/>
                            <w:left w:val="none" w:sz="0" w:space="0" w:color="auto"/>
                            <w:bottom w:val="none" w:sz="0" w:space="0" w:color="auto"/>
                            <w:right w:val="none" w:sz="0" w:space="0" w:color="auto"/>
                          </w:divBdr>
                        </w:div>
                        <w:div w:id="344745512">
                          <w:marLeft w:val="0"/>
                          <w:marRight w:val="0"/>
                          <w:marTop w:val="0"/>
                          <w:marBottom w:val="0"/>
                          <w:divBdr>
                            <w:top w:val="none" w:sz="0" w:space="0" w:color="auto"/>
                            <w:left w:val="none" w:sz="0" w:space="0" w:color="auto"/>
                            <w:bottom w:val="none" w:sz="0" w:space="0" w:color="auto"/>
                            <w:right w:val="none" w:sz="0" w:space="0" w:color="auto"/>
                          </w:divBdr>
                        </w:div>
                        <w:div w:id="560557298">
                          <w:marLeft w:val="0"/>
                          <w:marRight w:val="0"/>
                          <w:marTop w:val="0"/>
                          <w:marBottom w:val="0"/>
                          <w:divBdr>
                            <w:top w:val="none" w:sz="0" w:space="0" w:color="auto"/>
                            <w:left w:val="none" w:sz="0" w:space="0" w:color="auto"/>
                            <w:bottom w:val="none" w:sz="0" w:space="0" w:color="auto"/>
                            <w:right w:val="none" w:sz="0" w:space="0" w:color="auto"/>
                          </w:divBdr>
                        </w:div>
                        <w:div w:id="418253043">
                          <w:marLeft w:val="0"/>
                          <w:marRight w:val="0"/>
                          <w:marTop w:val="0"/>
                          <w:marBottom w:val="0"/>
                          <w:divBdr>
                            <w:top w:val="none" w:sz="0" w:space="0" w:color="auto"/>
                            <w:left w:val="none" w:sz="0" w:space="0" w:color="auto"/>
                            <w:bottom w:val="none" w:sz="0" w:space="0" w:color="auto"/>
                            <w:right w:val="none" w:sz="0" w:space="0" w:color="auto"/>
                          </w:divBdr>
                        </w:div>
                        <w:div w:id="1491479033">
                          <w:marLeft w:val="0"/>
                          <w:marRight w:val="0"/>
                          <w:marTop w:val="0"/>
                          <w:marBottom w:val="0"/>
                          <w:divBdr>
                            <w:top w:val="none" w:sz="0" w:space="0" w:color="auto"/>
                            <w:left w:val="none" w:sz="0" w:space="0" w:color="auto"/>
                            <w:bottom w:val="none" w:sz="0" w:space="0" w:color="auto"/>
                            <w:right w:val="none" w:sz="0" w:space="0" w:color="auto"/>
                          </w:divBdr>
                        </w:div>
                        <w:div w:id="1210456853">
                          <w:marLeft w:val="0"/>
                          <w:marRight w:val="0"/>
                          <w:marTop w:val="0"/>
                          <w:marBottom w:val="0"/>
                          <w:divBdr>
                            <w:top w:val="none" w:sz="0" w:space="0" w:color="auto"/>
                            <w:left w:val="none" w:sz="0" w:space="0" w:color="auto"/>
                            <w:bottom w:val="none" w:sz="0" w:space="0" w:color="auto"/>
                            <w:right w:val="none" w:sz="0" w:space="0" w:color="auto"/>
                          </w:divBdr>
                        </w:div>
                        <w:div w:id="197399567">
                          <w:marLeft w:val="0"/>
                          <w:marRight w:val="0"/>
                          <w:marTop w:val="0"/>
                          <w:marBottom w:val="0"/>
                          <w:divBdr>
                            <w:top w:val="none" w:sz="0" w:space="0" w:color="auto"/>
                            <w:left w:val="none" w:sz="0" w:space="0" w:color="auto"/>
                            <w:bottom w:val="none" w:sz="0" w:space="0" w:color="auto"/>
                            <w:right w:val="none" w:sz="0" w:space="0" w:color="auto"/>
                          </w:divBdr>
                        </w:div>
                        <w:div w:id="498278913">
                          <w:marLeft w:val="0"/>
                          <w:marRight w:val="0"/>
                          <w:marTop w:val="0"/>
                          <w:marBottom w:val="0"/>
                          <w:divBdr>
                            <w:top w:val="none" w:sz="0" w:space="0" w:color="auto"/>
                            <w:left w:val="none" w:sz="0" w:space="0" w:color="auto"/>
                            <w:bottom w:val="none" w:sz="0" w:space="0" w:color="auto"/>
                            <w:right w:val="none" w:sz="0" w:space="0" w:color="auto"/>
                          </w:divBdr>
                        </w:div>
                      </w:divsChild>
                    </w:div>
                    <w:div w:id="1431778883">
                      <w:marLeft w:val="0"/>
                      <w:marRight w:val="0"/>
                      <w:marTop w:val="0"/>
                      <w:marBottom w:val="0"/>
                      <w:divBdr>
                        <w:top w:val="none" w:sz="0" w:space="0" w:color="auto"/>
                        <w:left w:val="none" w:sz="0" w:space="0" w:color="auto"/>
                        <w:bottom w:val="none" w:sz="0" w:space="0" w:color="auto"/>
                        <w:right w:val="none" w:sz="0" w:space="0" w:color="auto"/>
                      </w:divBdr>
                      <w:divsChild>
                        <w:div w:id="1388459140">
                          <w:marLeft w:val="0"/>
                          <w:marRight w:val="0"/>
                          <w:marTop w:val="0"/>
                          <w:marBottom w:val="0"/>
                          <w:divBdr>
                            <w:top w:val="none" w:sz="0" w:space="0" w:color="auto"/>
                            <w:left w:val="none" w:sz="0" w:space="0" w:color="auto"/>
                            <w:bottom w:val="none" w:sz="0" w:space="0" w:color="auto"/>
                            <w:right w:val="none" w:sz="0" w:space="0" w:color="auto"/>
                          </w:divBdr>
                          <w:divsChild>
                            <w:div w:id="1205799275">
                              <w:marLeft w:val="0"/>
                              <w:marRight w:val="0"/>
                              <w:marTop w:val="0"/>
                              <w:marBottom w:val="0"/>
                              <w:divBdr>
                                <w:top w:val="none" w:sz="0" w:space="0" w:color="auto"/>
                                <w:left w:val="none" w:sz="0" w:space="0" w:color="auto"/>
                                <w:bottom w:val="none" w:sz="0" w:space="0" w:color="auto"/>
                                <w:right w:val="none" w:sz="0" w:space="0" w:color="auto"/>
                              </w:divBdr>
                            </w:div>
                            <w:div w:id="1166745111">
                              <w:marLeft w:val="0"/>
                              <w:marRight w:val="0"/>
                              <w:marTop w:val="0"/>
                              <w:marBottom w:val="0"/>
                              <w:divBdr>
                                <w:top w:val="none" w:sz="0" w:space="0" w:color="auto"/>
                                <w:left w:val="none" w:sz="0" w:space="0" w:color="auto"/>
                                <w:bottom w:val="none" w:sz="0" w:space="0" w:color="auto"/>
                                <w:right w:val="none" w:sz="0" w:space="0" w:color="auto"/>
                              </w:divBdr>
                            </w:div>
                            <w:div w:id="1774132381">
                              <w:marLeft w:val="0"/>
                              <w:marRight w:val="0"/>
                              <w:marTop w:val="0"/>
                              <w:marBottom w:val="0"/>
                              <w:divBdr>
                                <w:top w:val="none" w:sz="0" w:space="0" w:color="auto"/>
                                <w:left w:val="none" w:sz="0" w:space="0" w:color="auto"/>
                                <w:bottom w:val="none" w:sz="0" w:space="0" w:color="auto"/>
                                <w:right w:val="none" w:sz="0" w:space="0" w:color="auto"/>
                              </w:divBdr>
                            </w:div>
                          </w:divsChild>
                        </w:div>
                        <w:div w:id="1322196584">
                          <w:marLeft w:val="0"/>
                          <w:marRight w:val="0"/>
                          <w:marTop w:val="0"/>
                          <w:marBottom w:val="0"/>
                          <w:divBdr>
                            <w:top w:val="none" w:sz="0" w:space="0" w:color="auto"/>
                            <w:left w:val="none" w:sz="0" w:space="0" w:color="auto"/>
                            <w:bottom w:val="none" w:sz="0" w:space="0" w:color="auto"/>
                            <w:right w:val="none" w:sz="0" w:space="0" w:color="auto"/>
                          </w:divBdr>
                        </w:div>
                        <w:div w:id="1052269770">
                          <w:marLeft w:val="0"/>
                          <w:marRight w:val="0"/>
                          <w:marTop w:val="0"/>
                          <w:marBottom w:val="0"/>
                          <w:divBdr>
                            <w:top w:val="none" w:sz="0" w:space="0" w:color="auto"/>
                            <w:left w:val="none" w:sz="0" w:space="0" w:color="auto"/>
                            <w:bottom w:val="none" w:sz="0" w:space="0" w:color="auto"/>
                            <w:right w:val="none" w:sz="0" w:space="0" w:color="auto"/>
                          </w:divBdr>
                          <w:divsChild>
                            <w:div w:id="153032809">
                              <w:marLeft w:val="0"/>
                              <w:marRight w:val="0"/>
                              <w:marTop w:val="0"/>
                              <w:marBottom w:val="0"/>
                              <w:divBdr>
                                <w:top w:val="none" w:sz="0" w:space="0" w:color="auto"/>
                                <w:left w:val="none" w:sz="0" w:space="0" w:color="auto"/>
                                <w:bottom w:val="none" w:sz="0" w:space="0" w:color="auto"/>
                                <w:right w:val="none" w:sz="0" w:space="0" w:color="auto"/>
                              </w:divBdr>
                            </w:div>
                            <w:div w:id="333605417">
                              <w:marLeft w:val="0"/>
                              <w:marRight w:val="0"/>
                              <w:marTop w:val="0"/>
                              <w:marBottom w:val="0"/>
                              <w:divBdr>
                                <w:top w:val="none" w:sz="0" w:space="0" w:color="auto"/>
                                <w:left w:val="none" w:sz="0" w:space="0" w:color="auto"/>
                                <w:bottom w:val="none" w:sz="0" w:space="0" w:color="auto"/>
                                <w:right w:val="none" w:sz="0" w:space="0" w:color="auto"/>
                              </w:divBdr>
                            </w:div>
                            <w:div w:id="10054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03374">
                      <w:marLeft w:val="0"/>
                      <w:marRight w:val="0"/>
                      <w:marTop w:val="0"/>
                      <w:marBottom w:val="0"/>
                      <w:divBdr>
                        <w:top w:val="none" w:sz="0" w:space="0" w:color="auto"/>
                        <w:left w:val="none" w:sz="0" w:space="0" w:color="auto"/>
                        <w:bottom w:val="none" w:sz="0" w:space="0" w:color="auto"/>
                        <w:right w:val="none" w:sz="0" w:space="0" w:color="auto"/>
                      </w:divBdr>
                    </w:div>
                    <w:div w:id="634068303">
                      <w:marLeft w:val="0"/>
                      <w:marRight w:val="0"/>
                      <w:marTop w:val="0"/>
                      <w:marBottom w:val="0"/>
                      <w:divBdr>
                        <w:top w:val="none" w:sz="0" w:space="0" w:color="auto"/>
                        <w:left w:val="none" w:sz="0" w:space="0" w:color="auto"/>
                        <w:bottom w:val="none" w:sz="0" w:space="0" w:color="auto"/>
                        <w:right w:val="none" w:sz="0" w:space="0" w:color="auto"/>
                      </w:divBdr>
                      <w:divsChild>
                        <w:div w:id="2007702625">
                          <w:marLeft w:val="0"/>
                          <w:marRight w:val="0"/>
                          <w:marTop w:val="0"/>
                          <w:marBottom w:val="0"/>
                          <w:divBdr>
                            <w:top w:val="none" w:sz="0" w:space="0" w:color="auto"/>
                            <w:left w:val="none" w:sz="0" w:space="0" w:color="auto"/>
                            <w:bottom w:val="none" w:sz="0" w:space="0" w:color="auto"/>
                            <w:right w:val="none" w:sz="0" w:space="0" w:color="auto"/>
                          </w:divBdr>
                        </w:div>
                        <w:div w:id="1067535039">
                          <w:marLeft w:val="0"/>
                          <w:marRight w:val="0"/>
                          <w:marTop w:val="0"/>
                          <w:marBottom w:val="0"/>
                          <w:divBdr>
                            <w:top w:val="none" w:sz="0" w:space="0" w:color="auto"/>
                            <w:left w:val="none" w:sz="0" w:space="0" w:color="auto"/>
                            <w:bottom w:val="none" w:sz="0" w:space="0" w:color="auto"/>
                            <w:right w:val="none" w:sz="0" w:space="0" w:color="auto"/>
                          </w:divBdr>
                        </w:div>
                      </w:divsChild>
                    </w:div>
                    <w:div w:id="841701078">
                      <w:marLeft w:val="0"/>
                      <w:marRight w:val="0"/>
                      <w:marTop w:val="0"/>
                      <w:marBottom w:val="0"/>
                      <w:divBdr>
                        <w:top w:val="none" w:sz="0" w:space="0" w:color="auto"/>
                        <w:left w:val="none" w:sz="0" w:space="0" w:color="auto"/>
                        <w:bottom w:val="none" w:sz="0" w:space="0" w:color="auto"/>
                        <w:right w:val="none" w:sz="0" w:space="0" w:color="auto"/>
                      </w:divBdr>
                      <w:divsChild>
                        <w:div w:id="19011777">
                          <w:marLeft w:val="0"/>
                          <w:marRight w:val="0"/>
                          <w:marTop w:val="0"/>
                          <w:marBottom w:val="0"/>
                          <w:divBdr>
                            <w:top w:val="none" w:sz="0" w:space="0" w:color="auto"/>
                            <w:left w:val="none" w:sz="0" w:space="0" w:color="auto"/>
                            <w:bottom w:val="none" w:sz="0" w:space="0" w:color="auto"/>
                            <w:right w:val="none" w:sz="0" w:space="0" w:color="auto"/>
                          </w:divBdr>
                        </w:div>
                        <w:div w:id="873545073">
                          <w:marLeft w:val="0"/>
                          <w:marRight w:val="0"/>
                          <w:marTop w:val="0"/>
                          <w:marBottom w:val="0"/>
                          <w:divBdr>
                            <w:top w:val="none" w:sz="0" w:space="0" w:color="auto"/>
                            <w:left w:val="none" w:sz="0" w:space="0" w:color="auto"/>
                            <w:bottom w:val="none" w:sz="0" w:space="0" w:color="auto"/>
                            <w:right w:val="none" w:sz="0" w:space="0" w:color="auto"/>
                          </w:divBdr>
                        </w:div>
                        <w:div w:id="1147740744">
                          <w:marLeft w:val="0"/>
                          <w:marRight w:val="0"/>
                          <w:marTop w:val="0"/>
                          <w:marBottom w:val="0"/>
                          <w:divBdr>
                            <w:top w:val="none" w:sz="0" w:space="0" w:color="auto"/>
                            <w:left w:val="none" w:sz="0" w:space="0" w:color="auto"/>
                            <w:bottom w:val="none" w:sz="0" w:space="0" w:color="auto"/>
                            <w:right w:val="none" w:sz="0" w:space="0" w:color="auto"/>
                          </w:divBdr>
                        </w:div>
                        <w:div w:id="1061443855">
                          <w:marLeft w:val="0"/>
                          <w:marRight w:val="0"/>
                          <w:marTop w:val="0"/>
                          <w:marBottom w:val="0"/>
                          <w:divBdr>
                            <w:top w:val="none" w:sz="0" w:space="0" w:color="auto"/>
                            <w:left w:val="none" w:sz="0" w:space="0" w:color="auto"/>
                            <w:bottom w:val="none" w:sz="0" w:space="0" w:color="auto"/>
                            <w:right w:val="none" w:sz="0" w:space="0" w:color="auto"/>
                          </w:divBdr>
                        </w:div>
                      </w:divsChild>
                    </w:div>
                    <w:div w:id="1991716026">
                      <w:marLeft w:val="0"/>
                      <w:marRight w:val="0"/>
                      <w:marTop w:val="0"/>
                      <w:marBottom w:val="0"/>
                      <w:divBdr>
                        <w:top w:val="none" w:sz="0" w:space="0" w:color="auto"/>
                        <w:left w:val="none" w:sz="0" w:space="0" w:color="auto"/>
                        <w:bottom w:val="none" w:sz="0" w:space="0" w:color="auto"/>
                        <w:right w:val="none" w:sz="0" w:space="0" w:color="auto"/>
                      </w:divBdr>
                    </w:div>
                    <w:div w:id="1618173180">
                      <w:marLeft w:val="0"/>
                      <w:marRight w:val="0"/>
                      <w:marTop w:val="0"/>
                      <w:marBottom w:val="0"/>
                      <w:divBdr>
                        <w:top w:val="none" w:sz="0" w:space="0" w:color="auto"/>
                        <w:left w:val="none" w:sz="0" w:space="0" w:color="auto"/>
                        <w:bottom w:val="none" w:sz="0" w:space="0" w:color="auto"/>
                        <w:right w:val="none" w:sz="0" w:space="0" w:color="auto"/>
                      </w:divBdr>
                    </w:div>
                    <w:div w:id="1345205442">
                      <w:marLeft w:val="0"/>
                      <w:marRight w:val="0"/>
                      <w:marTop w:val="0"/>
                      <w:marBottom w:val="0"/>
                      <w:divBdr>
                        <w:top w:val="none" w:sz="0" w:space="0" w:color="auto"/>
                        <w:left w:val="none" w:sz="0" w:space="0" w:color="auto"/>
                        <w:bottom w:val="none" w:sz="0" w:space="0" w:color="auto"/>
                        <w:right w:val="none" w:sz="0" w:space="0" w:color="auto"/>
                      </w:divBdr>
                    </w:div>
                    <w:div w:id="133841879">
                      <w:marLeft w:val="0"/>
                      <w:marRight w:val="0"/>
                      <w:marTop w:val="0"/>
                      <w:marBottom w:val="0"/>
                      <w:divBdr>
                        <w:top w:val="none" w:sz="0" w:space="0" w:color="auto"/>
                        <w:left w:val="none" w:sz="0" w:space="0" w:color="auto"/>
                        <w:bottom w:val="none" w:sz="0" w:space="0" w:color="auto"/>
                        <w:right w:val="none" w:sz="0" w:space="0" w:color="auto"/>
                      </w:divBdr>
                    </w:div>
                    <w:div w:id="19163592">
                      <w:marLeft w:val="0"/>
                      <w:marRight w:val="0"/>
                      <w:marTop w:val="0"/>
                      <w:marBottom w:val="0"/>
                      <w:divBdr>
                        <w:top w:val="none" w:sz="0" w:space="0" w:color="auto"/>
                        <w:left w:val="none" w:sz="0" w:space="0" w:color="auto"/>
                        <w:bottom w:val="none" w:sz="0" w:space="0" w:color="auto"/>
                        <w:right w:val="none" w:sz="0" w:space="0" w:color="auto"/>
                      </w:divBdr>
                      <w:divsChild>
                        <w:div w:id="654573595">
                          <w:marLeft w:val="0"/>
                          <w:marRight w:val="0"/>
                          <w:marTop w:val="0"/>
                          <w:marBottom w:val="0"/>
                          <w:divBdr>
                            <w:top w:val="none" w:sz="0" w:space="0" w:color="auto"/>
                            <w:left w:val="none" w:sz="0" w:space="0" w:color="auto"/>
                            <w:bottom w:val="none" w:sz="0" w:space="0" w:color="auto"/>
                            <w:right w:val="none" w:sz="0" w:space="0" w:color="auto"/>
                          </w:divBdr>
                        </w:div>
                        <w:div w:id="392195370">
                          <w:marLeft w:val="0"/>
                          <w:marRight w:val="0"/>
                          <w:marTop w:val="0"/>
                          <w:marBottom w:val="0"/>
                          <w:divBdr>
                            <w:top w:val="none" w:sz="0" w:space="0" w:color="auto"/>
                            <w:left w:val="none" w:sz="0" w:space="0" w:color="auto"/>
                            <w:bottom w:val="none" w:sz="0" w:space="0" w:color="auto"/>
                            <w:right w:val="none" w:sz="0" w:space="0" w:color="auto"/>
                          </w:divBdr>
                        </w:div>
                      </w:divsChild>
                    </w:div>
                    <w:div w:id="1004893922">
                      <w:marLeft w:val="0"/>
                      <w:marRight w:val="0"/>
                      <w:marTop w:val="0"/>
                      <w:marBottom w:val="0"/>
                      <w:divBdr>
                        <w:top w:val="none" w:sz="0" w:space="0" w:color="auto"/>
                        <w:left w:val="none" w:sz="0" w:space="0" w:color="auto"/>
                        <w:bottom w:val="none" w:sz="0" w:space="0" w:color="auto"/>
                        <w:right w:val="none" w:sz="0" w:space="0" w:color="auto"/>
                      </w:divBdr>
                    </w:div>
                    <w:div w:id="1704670256">
                      <w:marLeft w:val="0"/>
                      <w:marRight w:val="0"/>
                      <w:marTop w:val="0"/>
                      <w:marBottom w:val="0"/>
                      <w:divBdr>
                        <w:top w:val="none" w:sz="0" w:space="0" w:color="auto"/>
                        <w:left w:val="none" w:sz="0" w:space="0" w:color="auto"/>
                        <w:bottom w:val="none" w:sz="0" w:space="0" w:color="auto"/>
                        <w:right w:val="none" w:sz="0" w:space="0" w:color="auto"/>
                      </w:divBdr>
                    </w:div>
                    <w:div w:id="7289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136575">
      <w:bodyDiv w:val="1"/>
      <w:marLeft w:val="0"/>
      <w:marRight w:val="0"/>
      <w:marTop w:val="0"/>
      <w:marBottom w:val="0"/>
      <w:divBdr>
        <w:top w:val="none" w:sz="0" w:space="0" w:color="auto"/>
        <w:left w:val="none" w:sz="0" w:space="0" w:color="auto"/>
        <w:bottom w:val="none" w:sz="0" w:space="0" w:color="auto"/>
        <w:right w:val="none" w:sz="0" w:space="0" w:color="auto"/>
      </w:divBdr>
    </w:div>
    <w:div w:id="1260867198">
      <w:bodyDiv w:val="1"/>
      <w:marLeft w:val="0"/>
      <w:marRight w:val="0"/>
      <w:marTop w:val="0"/>
      <w:marBottom w:val="0"/>
      <w:divBdr>
        <w:top w:val="none" w:sz="0" w:space="0" w:color="auto"/>
        <w:left w:val="none" w:sz="0" w:space="0" w:color="auto"/>
        <w:bottom w:val="none" w:sz="0" w:space="0" w:color="auto"/>
        <w:right w:val="none" w:sz="0" w:space="0" w:color="auto"/>
      </w:divBdr>
    </w:div>
    <w:div w:id="1560897200">
      <w:bodyDiv w:val="1"/>
      <w:marLeft w:val="0"/>
      <w:marRight w:val="0"/>
      <w:marTop w:val="0"/>
      <w:marBottom w:val="0"/>
      <w:divBdr>
        <w:top w:val="none" w:sz="0" w:space="0" w:color="auto"/>
        <w:left w:val="none" w:sz="0" w:space="0" w:color="auto"/>
        <w:bottom w:val="none" w:sz="0" w:space="0" w:color="auto"/>
        <w:right w:val="none" w:sz="0" w:space="0" w:color="auto"/>
      </w:divBdr>
    </w:div>
    <w:div w:id="177308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s://www.e-tar.lt/portal/legalAct.html?documentId=b181ba70b47011eea5a28c81c82193a8" TargetMode="External"/><Relationship Id="rId1" Type="http://schemas.openxmlformats.org/officeDocument/2006/relationships/hyperlink" Target="https://www.stt.lt/data/public/uploads/2023/11/kra-statybos-uzbaigimas-vtpsi-ir-kt.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a.markauskiene\Downloads\AM%20siun&#269;iamas_1_adresa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4E46A-47F7-4441-9073-E31C487A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 siunčiamas_1_adresatas</Template>
  <TotalTime>0</TotalTime>
  <Pages>5</Pages>
  <Words>2480</Words>
  <Characters>14138</Characters>
  <Application>Microsoft Office Word</Application>
  <DocSecurity>0</DocSecurity>
  <Lines>117</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2024-02-27T09:02:00Z</dcterms:created>
  <dcterms:modified xsi:type="dcterms:W3CDTF">2024-02-27T09:02:00Z</dcterms:modified>
</cp:coreProperties>
</file>