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25A95FAB" w14:textId="77777777">
        <w:tc>
          <w:tcPr>
            <w:tcW w:w="9638" w:type="dxa"/>
            <w:gridSpan w:val="5"/>
            <w:tcBorders>
              <w:bottom w:val="single" w:sz="4" w:space="0" w:color="000000"/>
            </w:tcBorders>
          </w:tcPr>
          <w:p w14:paraId="1FDA7AAA" w14:textId="77777777" w:rsidR="00796197" w:rsidRDefault="001A0121">
            <w:pPr>
              <w:pStyle w:val="TableContents"/>
              <w:jc w:val="center"/>
              <w:rPr>
                <w:b/>
                <w:bCs/>
                <w:spacing w:val="20"/>
                <w:sz w:val="28"/>
                <w:szCs w:val="28"/>
              </w:rPr>
            </w:pPr>
            <w:r w:rsidRPr="00C4121E">
              <w:rPr>
                <w:b/>
                <w:noProof/>
                <w:spacing w:val="20"/>
                <w:sz w:val="26"/>
                <w:szCs w:val="26"/>
                <w:lang w:val="en-GB" w:eastAsia="en-GB" w:bidi="ar-SA"/>
              </w:rPr>
              <w:drawing>
                <wp:inline distT="0" distB="0" distL="0" distR="0" wp14:anchorId="798E6E04" wp14:editId="681F8936">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1BA0872E" w14:textId="77777777"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14:paraId="786EA4C2"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14:paraId="47B39765" w14:textId="77777777" w:rsidR="00796197" w:rsidRDefault="00E33BE9">
            <w:pPr>
              <w:pStyle w:val="TableContents"/>
              <w:jc w:val="center"/>
              <w:rPr>
                <w:rFonts w:ascii="Arial" w:hAnsi="Arial"/>
                <w:b/>
                <w:bCs/>
                <w:spacing w:val="12"/>
                <w:sz w:val="14"/>
                <w:szCs w:val="14"/>
              </w:rPr>
            </w:pPr>
            <w:r>
              <w:rPr>
                <w:rFonts w:ascii="Arial" w:hAnsi="Arial"/>
                <w:b/>
                <w:bCs/>
                <w:spacing w:val="12"/>
                <w:sz w:val="14"/>
                <w:szCs w:val="14"/>
              </w:rPr>
              <w:t>tel</w:t>
            </w:r>
            <w:r w:rsidR="007E464C">
              <w:rPr>
                <w:rFonts w:ascii="Arial" w:hAnsi="Arial"/>
                <w:b/>
                <w:bCs/>
                <w:spacing w:val="12"/>
                <w:sz w:val="14"/>
                <w:szCs w:val="14"/>
              </w:rPr>
              <w:t>.</w:t>
            </w:r>
            <w:r w:rsidR="009E794B">
              <w:rPr>
                <w:rFonts w:ascii="Arial" w:hAnsi="Arial"/>
                <w:b/>
                <w:bCs/>
                <w:spacing w:val="12"/>
                <w:sz w:val="14"/>
                <w:szCs w:val="14"/>
              </w:rPr>
              <w:t xml:space="preserve"> </w:t>
            </w:r>
            <w:r w:rsidR="00CF38A6" w:rsidRPr="005D2915">
              <w:rPr>
                <w:rFonts w:ascii="Arial" w:hAnsi="Arial"/>
                <w:b/>
                <w:bCs/>
                <w:spacing w:val="12"/>
                <w:sz w:val="14"/>
                <w:szCs w:val="14"/>
                <w:lang w:val="en-GB"/>
              </w:rPr>
              <w:t>8 </w:t>
            </w:r>
            <w:r w:rsidR="009E794B" w:rsidRPr="009E794B">
              <w:rPr>
                <w:rFonts w:ascii="Arial" w:hAnsi="Arial"/>
                <w:b/>
                <w:bCs/>
                <w:spacing w:val="12"/>
                <w:sz w:val="14"/>
                <w:szCs w:val="14"/>
              </w:rPr>
              <w:t>626</w:t>
            </w:r>
            <w:r w:rsidR="00CF38A6" w:rsidRPr="005D2915">
              <w:rPr>
                <w:rFonts w:ascii="Arial" w:hAnsi="Arial"/>
                <w:b/>
                <w:bCs/>
                <w:spacing w:val="12"/>
                <w:sz w:val="14"/>
                <w:szCs w:val="14"/>
                <w:lang w:val="en-GB"/>
              </w:rPr>
              <w:t xml:space="preserve"> </w:t>
            </w:r>
            <w:r w:rsidR="009E794B" w:rsidRPr="009E794B">
              <w:rPr>
                <w:rFonts w:ascii="Arial" w:hAnsi="Arial"/>
                <w:b/>
                <w:bCs/>
                <w:spacing w:val="12"/>
                <w:sz w:val="14"/>
                <w:szCs w:val="14"/>
              </w:rPr>
              <w:t>22</w:t>
            </w:r>
            <w:r w:rsidR="0021616F">
              <w:rPr>
                <w:rFonts w:ascii="Arial" w:hAnsi="Arial"/>
                <w:b/>
                <w:bCs/>
                <w:spacing w:val="12"/>
                <w:sz w:val="14"/>
                <w:szCs w:val="14"/>
              </w:rPr>
              <w:t xml:space="preserve"> </w:t>
            </w:r>
            <w:r w:rsidR="009E794B" w:rsidRPr="009E794B">
              <w:rPr>
                <w:rFonts w:ascii="Arial" w:hAnsi="Arial"/>
                <w:b/>
                <w:bCs/>
                <w:spacing w:val="12"/>
                <w:sz w:val="14"/>
                <w:szCs w:val="14"/>
              </w:rPr>
              <w:t>252</w:t>
            </w:r>
            <w:r w:rsidR="009E794B">
              <w:rPr>
                <w:rFonts w:ascii="Arial" w:hAnsi="Arial"/>
                <w:b/>
                <w:bCs/>
                <w:spacing w:val="12"/>
                <w:sz w:val="14"/>
                <w:szCs w:val="14"/>
              </w:rPr>
              <w:t xml:space="preserve">, </w:t>
            </w:r>
            <w:r w:rsidR="003728E1">
              <w:rPr>
                <w:rFonts w:ascii="Arial" w:hAnsi="Arial"/>
                <w:b/>
                <w:bCs/>
                <w:spacing w:val="12"/>
                <w:sz w:val="14"/>
                <w:szCs w:val="14"/>
              </w:rPr>
              <w:t xml:space="preserve">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E81E92">
              <w:rPr>
                <w:rFonts w:ascii="Arial" w:hAnsi="Arial"/>
                <w:b/>
                <w:bCs/>
                <w:spacing w:val="12"/>
                <w:sz w:val="14"/>
                <w:szCs w:val="14"/>
              </w:rPr>
              <w:t>s</w:t>
            </w:r>
            <w:r w:rsidR="003728E1">
              <w:rPr>
                <w:rFonts w:ascii="Arial" w:hAnsi="Arial"/>
                <w:b/>
                <w:bCs/>
                <w:spacing w:val="12"/>
                <w:sz w:val="14"/>
                <w:szCs w:val="14"/>
              </w:rPr>
              <w:t>://</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14:paraId="4FC3CD57"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14:paraId="29F015AF" w14:textId="77777777">
        <w:tc>
          <w:tcPr>
            <w:tcW w:w="9638" w:type="dxa"/>
            <w:gridSpan w:val="5"/>
            <w:tcMar>
              <w:top w:w="0" w:type="dxa"/>
              <w:left w:w="0" w:type="dxa"/>
              <w:bottom w:w="0" w:type="dxa"/>
              <w:right w:w="0" w:type="dxa"/>
            </w:tcMar>
          </w:tcPr>
          <w:p w14:paraId="6DC7ED86" w14:textId="77777777" w:rsidR="00796197" w:rsidRDefault="00796197">
            <w:pPr>
              <w:pStyle w:val="TableContents"/>
            </w:pPr>
          </w:p>
        </w:tc>
      </w:tr>
      <w:tr w:rsidR="00796197" w14:paraId="647ED9C9" w14:textId="77777777">
        <w:trPr>
          <w:cantSplit/>
          <w:trHeight w:val="340"/>
        </w:trPr>
        <w:tc>
          <w:tcPr>
            <w:tcW w:w="4817" w:type="dxa"/>
            <w:vMerge w:val="restart"/>
            <w:tcMar>
              <w:top w:w="0" w:type="dxa"/>
              <w:left w:w="0" w:type="dxa"/>
              <w:bottom w:w="0" w:type="dxa"/>
              <w:right w:w="0" w:type="dxa"/>
            </w:tcMar>
          </w:tcPr>
          <w:p w14:paraId="71868A8C" w14:textId="77777777" w:rsidR="00887040" w:rsidRDefault="00887040" w:rsidP="00173BFB">
            <w:pPr>
              <w:pStyle w:val="paragraph"/>
              <w:spacing w:before="0" w:beforeAutospacing="0" w:after="0" w:afterAutospacing="0"/>
              <w:textAlignment w:val="baseline"/>
              <w:rPr>
                <w:rStyle w:val="normaltextrun"/>
              </w:rPr>
            </w:pPr>
            <w:r>
              <w:rPr>
                <w:rStyle w:val="normaltextrun"/>
              </w:rPr>
              <w:t>Specialiųjų tyrimų tarnybai</w:t>
            </w:r>
          </w:p>
          <w:p w14:paraId="6C229818" w14:textId="77777777" w:rsidR="00887040" w:rsidRDefault="00887040" w:rsidP="00173BFB">
            <w:pPr>
              <w:pStyle w:val="paragraph"/>
              <w:spacing w:before="0" w:beforeAutospacing="0" w:after="0" w:afterAutospacing="0"/>
              <w:textAlignment w:val="baseline"/>
              <w:rPr>
                <w:rStyle w:val="normaltextrun"/>
              </w:rPr>
            </w:pPr>
          </w:p>
          <w:p w14:paraId="0035B5C4" w14:textId="77777777" w:rsidR="00585B04" w:rsidRDefault="00585B04" w:rsidP="00585B04">
            <w:pPr>
              <w:pStyle w:val="TableContents"/>
              <w:rPr>
                <w:spacing w:val="10"/>
              </w:rPr>
            </w:pPr>
          </w:p>
        </w:tc>
        <w:tc>
          <w:tcPr>
            <w:tcW w:w="282" w:type="dxa"/>
            <w:tcMar>
              <w:top w:w="0" w:type="dxa"/>
              <w:left w:w="0" w:type="dxa"/>
              <w:bottom w:w="0" w:type="dxa"/>
              <w:right w:w="0" w:type="dxa"/>
            </w:tcMar>
          </w:tcPr>
          <w:p w14:paraId="278AD03C" w14:textId="77777777" w:rsidR="00796197" w:rsidRDefault="00796197">
            <w:pPr>
              <w:ind w:right="67"/>
              <w:jc w:val="right"/>
              <w:rPr>
                <w:spacing w:val="10"/>
              </w:rPr>
            </w:pPr>
          </w:p>
        </w:tc>
        <w:tc>
          <w:tcPr>
            <w:tcW w:w="1841" w:type="dxa"/>
            <w:tcMar>
              <w:top w:w="0" w:type="dxa"/>
              <w:left w:w="0" w:type="dxa"/>
              <w:bottom w:w="0" w:type="dxa"/>
              <w:right w:w="0" w:type="dxa"/>
            </w:tcMar>
          </w:tcPr>
          <w:p w14:paraId="136351D6" w14:textId="42088289" w:rsidR="00796197" w:rsidRPr="00887040" w:rsidRDefault="00887040">
            <w:pPr>
              <w:pStyle w:val="TableContents"/>
              <w:ind w:right="67"/>
              <w:rPr>
                <w:lang w:val="en-GB"/>
              </w:rPr>
            </w:pPr>
            <w:r>
              <w:rPr>
                <w:lang w:val="en-GB"/>
              </w:rPr>
              <w:t>2024-</w:t>
            </w:r>
            <w:r w:rsidR="003E5538">
              <w:rPr>
                <w:lang w:val="en-GB"/>
              </w:rPr>
              <w:t>02-06</w:t>
            </w:r>
          </w:p>
        </w:tc>
        <w:tc>
          <w:tcPr>
            <w:tcW w:w="565" w:type="dxa"/>
          </w:tcPr>
          <w:p w14:paraId="64473DE8" w14:textId="77777777" w:rsidR="00796197" w:rsidRDefault="00796197">
            <w:pPr>
              <w:ind w:right="67"/>
              <w:jc w:val="right"/>
              <w:rPr>
                <w:spacing w:val="10"/>
              </w:rPr>
            </w:pPr>
            <w:r>
              <w:rPr>
                <w:spacing w:val="10"/>
              </w:rPr>
              <w:t>Nr.</w:t>
            </w:r>
          </w:p>
        </w:tc>
        <w:tc>
          <w:tcPr>
            <w:tcW w:w="2133" w:type="dxa"/>
          </w:tcPr>
          <w:p w14:paraId="1C1ECBD8" w14:textId="4E952525" w:rsidR="00796197" w:rsidRDefault="00887040">
            <w:pPr>
              <w:pStyle w:val="TableContents"/>
              <w:ind w:right="67"/>
            </w:pPr>
            <w:r>
              <w:t>(14)-D8(E)-</w:t>
            </w:r>
            <w:r w:rsidR="003E5538">
              <w:t>776</w:t>
            </w:r>
          </w:p>
        </w:tc>
      </w:tr>
      <w:tr w:rsidR="00796197" w14:paraId="2A96B20D" w14:textId="77777777">
        <w:trPr>
          <w:cantSplit/>
          <w:trHeight w:val="340"/>
        </w:trPr>
        <w:tc>
          <w:tcPr>
            <w:tcW w:w="4817" w:type="dxa"/>
            <w:vMerge/>
            <w:tcMar>
              <w:top w:w="0" w:type="dxa"/>
              <w:left w:w="0" w:type="dxa"/>
              <w:bottom w:w="0" w:type="dxa"/>
              <w:right w:w="0" w:type="dxa"/>
            </w:tcMar>
          </w:tcPr>
          <w:p w14:paraId="7175D653" w14:textId="77777777" w:rsidR="00796197" w:rsidRDefault="00796197"/>
        </w:tc>
        <w:tc>
          <w:tcPr>
            <w:tcW w:w="282" w:type="dxa"/>
            <w:tcMar>
              <w:top w:w="0" w:type="dxa"/>
              <w:left w:w="0" w:type="dxa"/>
              <w:bottom w:w="0" w:type="dxa"/>
              <w:right w:w="0" w:type="dxa"/>
            </w:tcMar>
          </w:tcPr>
          <w:p w14:paraId="50AC13FB"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74875853" w14:textId="795799F6" w:rsidR="00796197" w:rsidRDefault="00887040">
            <w:pPr>
              <w:pStyle w:val="TableContents"/>
              <w:ind w:right="67"/>
            </w:pPr>
            <w:bookmarkStart w:id="1" w:name="_Hlk157686896"/>
            <w:r>
              <w:t>2023-07-27</w:t>
            </w:r>
            <w:bookmarkEnd w:id="1"/>
          </w:p>
        </w:tc>
        <w:tc>
          <w:tcPr>
            <w:tcW w:w="565" w:type="dxa"/>
          </w:tcPr>
          <w:p w14:paraId="075467AF" w14:textId="77777777" w:rsidR="00796197" w:rsidRDefault="00796197">
            <w:pPr>
              <w:tabs>
                <w:tab w:val="left" w:pos="2869"/>
              </w:tabs>
              <w:ind w:right="67"/>
              <w:jc w:val="right"/>
              <w:rPr>
                <w:spacing w:val="10"/>
              </w:rPr>
            </w:pPr>
            <w:r>
              <w:rPr>
                <w:spacing w:val="10"/>
              </w:rPr>
              <w:t>Nr.</w:t>
            </w:r>
          </w:p>
        </w:tc>
        <w:tc>
          <w:tcPr>
            <w:tcW w:w="2133" w:type="dxa"/>
          </w:tcPr>
          <w:p w14:paraId="4C1A5E0B" w14:textId="76F7C305" w:rsidR="00796197" w:rsidRDefault="00887040">
            <w:pPr>
              <w:pStyle w:val="TableContents"/>
              <w:ind w:right="67"/>
            </w:pPr>
            <w:bookmarkStart w:id="2" w:name="_Hlk157686916"/>
            <w:r>
              <w:t>4-01-6289</w:t>
            </w:r>
            <w:bookmarkEnd w:id="2"/>
          </w:p>
        </w:tc>
      </w:tr>
      <w:tr w:rsidR="00796197" w14:paraId="2DA6B9D5" w14:textId="77777777">
        <w:trPr>
          <w:cantSplit/>
        </w:trPr>
        <w:tc>
          <w:tcPr>
            <w:tcW w:w="4817" w:type="dxa"/>
            <w:vMerge/>
            <w:tcMar>
              <w:top w:w="0" w:type="dxa"/>
              <w:left w:w="0" w:type="dxa"/>
              <w:bottom w:w="0" w:type="dxa"/>
              <w:right w:w="0" w:type="dxa"/>
            </w:tcMar>
          </w:tcPr>
          <w:p w14:paraId="72395F55" w14:textId="77777777" w:rsidR="00796197" w:rsidRDefault="00796197"/>
        </w:tc>
        <w:tc>
          <w:tcPr>
            <w:tcW w:w="4821" w:type="dxa"/>
            <w:gridSpan w:val="4"/>
            <w:tcMar>
              <w:top w:w="0" w:type="dxa"/>
              <w:left w:w="0" w:type="dxa"/>
              <w:bottom w:w="0" w:type="dxa"/>
              <w:right w:w="0" w:type="dxa"/>
            </w:tcMar>
          </w:tcPr>
          <w:p w14:paraId="1E0B2C14" w14:textId="77777777" w:rsidR="00796197" w:rsidRDefault="00796197">
            <w:pPr>
              <w:tabs>
                <w:tab w:val="left" w:pos="2869"/>
              </w:tabs>
              <w:ind w:right="67"/>
              <w:rPr>
                <w:spacing w:val="10"/>
              </w:rPr>
            </w:pPr>
          </w:p>
        </w:tc>
      </w:tr>
      <w:tr w:rsidR="00796197" w14:paraId="132D3DE0" w14:textId="77777777">
        <w:trPr>
          <w:trHeight w:val="340"/>
        </w:trPr>
        <w:tc>
          <w:tcPr>
            <w:tcW w:w="9638" w:type="dxa"/>
            <w:gridSpan w:val="5"/>
            <w:tcMar>
              <w:top w:w="0" w:type="dxa"/>
              <w:left w:w="0" w:type="dxa"/>
              <w:bottom w:w="0" w:type="dxa"/>
              <w:right w:w="0" w:type="dxa"/>
            </w:tcMar>
          </w:tcPr>
          <w:p w14:paraId="0D93339A" w14:textId="77777777" w:rsidR="00887040" w:rsidRPr="00887040" w:rsidRDefault="00887040" w:rsidP="00887040">
            <w:pPr>
              <w:tabs>
                <w:tab w:val="left" w:pos="900"/>
              </w:tabs>
              <w:suppressAutoHyphens/>
              <w:ind w:right="33"/>
              <w:rPr>
                <w:rFonts w:eastAsia="Times New Roman" w:cs="Times New Roman"/>
                <w:b/>
                <w:lang w:eastAsia="ar-SA" w:bidi="ar-SA"/>
              </w:rPr>
            </w:pPr>
            <w:r w:rsidRPr="00887040">
              <w:rPr>
                <w:rFonts w:eastAsia="Times New Roman" w:cs="Times New Roman"/>
                <w:b/>
                <w:lang w:eastAsia="ar-SA" w:bidi="ar-SA"/>
              </w:rPr>
              <w:t xml:space="preserve">DĖL KORUPCIJOS RIZIKOS ANALIZĖS IŠVADOJE PATEIKTŲ PASIŪLYMŲ ĮGYVENDINIMO </w:t>
            </w:r>
          </w:p>
          <w:p w14:paraId="7033ED8D" w14:textId="7BAF4266" w:rsidR="00796197" w:rsidRDefault="00796197" w:rsidP="00935919">
            <w:pPr>
              <w:pStyle w:val="TableContents"/>
              <w:spacing w:line="276" w:lineRule="auto"/>
              <w:rPr>
                <w:b/>
                <w:bCs/>
              </w:rPr>
            </w:pPr>
          </w:p>
        </w:tc>
      </w:tr>
    </w:tbl>
    <w:p w14:paraId="49AB7365" w14:textId="77777777" w:rsidR="00173BFB" w:rsidRDefault="00173BFB" w:rsidP="00935919">
      <w:pPr>
        <w:pStyle w:val="BodyText"/>
        <w:spacing w:line="276" w:lineRule="auto"/>
        <w:ind w:firstLine="0"/>
      </w:pPr>
    </w:p>
    <w:p w14:paraId="5176CC4C" w14:textId="067F130D" w:rsidR="00796197" w:rsidRDefault="00AF4852" w:rsidP="00F010CD">
      <w:pPr>
        <w:pStyle w:val="BodyText"/>
      </w:pPr>
      <w:r>
        <w:t xml:space="preserve">Teikiame papildomą informaciją į Jūsų 2023-07-27 raštą Nr. 4-01-6289 </w:t>
      </w:r>
      <w:bookmarkStart w:id="3" w:name="_Hlk157760229"/>
      <w:r>
        <w:t>„</w:t>
      </w:r>
      <w:bookmarkEnd w:id="3"/>
      <w:r>
        <w:t>Dėl korupcijos rizikos analizės išvadoje pateiktų pasiūlymų įgyvendinimo“.</w:t>
      </w:r>
    </w:p>
    <w:p w14:paraId="516F1A7B" w14:textId="4AC1E949" w:rsidR="00AF4852" w:rsidRPr="00E73E99" w:rsidRDefault="00002532" w:rsidP="00F010CD">
      <w:pPr>
        <w:pStyle w:val="BodyText"/>
        <w:rPr>
          <w:i/>
          <w:iCs/>
        </w:rPr>
      </w:pPr>
      <w:r w:rsidRPr="00002532">
        <w:rPr>
          <w:b/>
          <w:bCs/>
        </w:rPr>
        <w:t xml:space="preserve">Dėl </w:t>
      </w:r>
      <w:r w:rsidRPr="00002532">
        <w:rPr>
          <w:b/>
          <w:bCs/>
          <w:lang w:val="en-GB"/>
        </w:rPr>
        <w:t>1.1 p</w:t>
      </w:r>
      <w:r w:rsidR="00E73E99">
        <w:rPr>
          <w:b/>
          <w:bCs/>
          <w:lang w:val="en-GB"/>
        </w:rPr>
        <w:t>.</w:t>
      </w:r>
      <w:r>
        <w:rPr>
          <w:b/>
          <w:bCs/>
          <w:lang w:val="en-GB"/>
        </w:rPr>
        <w:t xml:space="preserve">  </w:t>
      </w:r>
      <w:r w:rsidRPr="00002532">
        <w:rPr>
          <w:i/>
          <w:iCs/>
        </w:rPr>
        <w:t>„Aplinkos ministerijai spręsti dėl teisinio reglamentavimo tobulinimo, siekiant, kad savivaldybių administracijos neišduotų statybą leidžiančių dokumentų pačios sau, pavyzdžiui, nustatyti, kad šiais atvejais statybą leidžiantį dokumentą išduota kitos savivaldybės administracija teisės aktų nustatyta tvarka</w:t>
      </w:r>
      <w:r w:rsidRPr="00002532">
        <w:t>.“</w:t>
      </w:r>
    </w:p>
    <w:p w14:paraId="23373E81" w14:textId="335F6695" w:rsidR="00E73E99" w:rsidRPr="00B447C1" w:rsidRDefault="00E73E99" w:rsidP="00F010CD">
      <w:pPr>
        <w:pStyle w:val="BodyText"/>
        <w:rPr>
          <w:i/>
          <w:iCs/>
          <w:lang w:val="en-GB"/>
        </w:rPr>
      </w:pPr>
      <w:r w:rsidRPr="00E73E99">
        <w:rPr>
          <w:bCs/>
        </w:rPr>
        <w:t>Pakartotinai informuojame, kad</w:t>
      </w:r>
      <w:r>
        <w:rPr>
          <w:bCs/>
        </w:rPr>
        <w:t xml:space="preserve"> p</w:t>
      </w:r>
      <w:r w:rsidRPr="00B447C1">
        <w:t xml:space="preserve">agal Lietuvos Respublikos statybos įstatymo </w:t>
      </w:r>
      <w:r w:rsidRPr="00B447C1">
        <w:rPr>
          <w:lang w:val="en-GB"/>
        </w:rPr>
        <w:t>27 str. 4 d.</w:t>
      </w:r>
      <w:r>
        <w:rPr>
          <w:color w:val="000000"/>
        </w:rPr>
        <w:t xml:space="preserve"> </w:t>
      </w:r>
      <w:r w:rsidRPr="00B447C1">
        <w:rPr>
          <w:i/>
          <w:iCs/>
          <w:color w:val="000000"/>
        </w:rPr>
        <w:t>„Jeigu statinys statomas kelių savivaldybių teritorijoje, kiekvienos savivaldybės meras ar jo įgaliotas savivaldybės administracijos valstybės tarnautojas išduoda statinio dalies, kuri yra tos savivaldybės teritorijoje, statybą leidžiantį dokumentą.“</w:t>
      </w:r>
    </w:p>
    <w:p w14:paraId="1965935D" w14:textId="77777777" w:rsidR="00E73E99" w:rsidRDefault="00E73E99" w:rsidP="00F010CD">
      <w:pPr>
        <w:pStyle w:val="TableContents"/>
        <w:ind w:firstLine="567"/>
      </w:pPr>
      <w:r>
        <w:t xml:space="preserve">Aplinkos ministerija nepritaria Specialiųjų tyrimų tarnybos siūlymui keisti galiojantį teisinį reglamentavimą, nes sistemiškai vertinant tai nebūtų tinkamas sprendinys išeinant iš Lietuvos Respublikos vietos savivaldos įstatyme savivaldybėms suteiktų įgaliojimų. </w:t>
      </w:r>
    </w:p>
    <w:p w14:paraId="0C837A4A" w14:textId="6E8DA144" w:rsidR="00E73E99" w:rsidRPr="00E73E99" w:rsidRDefault="00E73E99" w:rsidP="00F010CD">
      <w:pPr>
        <w:pStyle w:val="TableContents"/>
        <w:ind w:firstLine="567"/>
        <w:rPr>
          <w:i/>
          <w:iCs/>
        </w:rPr>
      </w:pPr>
      <w:r w:rsidRPr="00E73E99">
        <w:rPr>
          <w:b/>
          <w:bCs/>
        </w:rPr>
        <w:t>Dėl 1.3 p.</w:t>
      </w:r>
      <w:r>
        <w:t xml:space="preserve"> </w:t>
      </w:r>
      <w:r w:rsidRPr="00E73E99">
        <w:rPr>
          <w:i/>
          <w:iCs/>
        </w:rPr>
        <w:t>„Aplinkos ministerijai įgyvendinant Specialiųjų tyrimų tarnybos atliktos korupcijos rizikos analizės išvadoje dėl statybą leidžiančių dokumentų išdavimo Vilniaus miesto savivaldybėje pateiktą pasiūlymą (1.5) „inicijuoti teisės aktų pakeitimus ir nustatyti aiškius paskirties reikalavimus pastatams, t. y. numatyti, kokios sudėties turi būti viešbutis, svečių namai, nakvynės namai ir t. t.“, atsižvelgti ir į šioje dalyje išdėstytą problematiką dėl aiškaus negyvenamųjų ir gyvenamųjų pastatų atskyrimo.“</w:t>
      </w:r>
    </w:p>
    <w:p w14:paraId="32D5C708" w14:textId="3736FABC" w:rsidR="00FE6A6A" w:rsidRPr="00B62EE8" w:rsidRDefault="00FE6A6A" w:rsidP="00F010CD">
      <w:pPr>
        <w:ind w:firstLine="567"/>
        <w:rPr>
          <w:rFonts w:eastAsia="Calibri" w:cs="Times New Roman"/>
          <w:lang w:eastAsia="en-GB" w:bidi="ar-SA"/>
        </w:rPr>
      </w:pPr>
      <w:r>
        <w:t>Pakartotinai informuojame, kad</w:t>
      </w:r>
      <w:r w:rsidRPr="00B62EE8">
        <w:rPr>
          <w:rFonts w:eastAsia="Times New Roman" w:cs="Times New Roman"/>
          <w:lang w:val="en-GB" w:eastAsia="en-GB" w:bidi="ar-SA"/>
        </w:rPr>
        <w:t xml:space="preserve"> </w:t>
      </w:r>
      <w:r>
        <w:rPr>
          <w:rFonts w:eastAsia="Times New Roman" w:cs="Times New Roman"/>
          <w:lang w:val="en-GB" w:eastAsia="en-GB" w:bidi="ar-SA"/>
        </w:rPr>
        <w:t>o</w:t>
      </w:r>
      <w:proofErr w:type="spellStart"/>
      <w:r w:rsidRPr="00B62EE8">
        <w:rPr>
          <w:rFonts w:eastAsia="Calibri" w:cs="Times New Roman"/>
          <w:lang w:bidi="ar-SA"/>
          <w14:ligatures w14:val="standardContextual"/>
        </w:rPr>
        <w:t>ficialiam</w:t>
      </w:r>
      <w:proofErr w:type="spellEnd"/>
      <w:r w:rsidRPr="00B62EE8">
        <w:rPr>
          <w:rFonts w:eastAsia="Calibri" w:cs="Times New Roman"/>
          <w:lang w:bidi="ar-SA"/>
          <w14:ligatures w14:val="standardContextual"/>
        </w:rPr>
        <w:t xml:space="preserve"> derinimui per Teisės aktų informacinę sistemą (TAIS)</w:t>
      </w:r>
      <w:r>
        <w:rPr>
          <w:rFonts w:eastAsia="Calibri" w:cs="Times New Roman"/>
          <w:lang w:bidi="ar-SA"/>
          <w14:ligatures w14:val="standardContextual"/>
        </w:rPr>
        <w:t xml:space="preserve"> </w:t>
      </w:r>
      <w:r w:rsidR="00720797">
        <w:rPr>
          <w:rFonts w:eastAsia="Calibri" w:cs="Times New Roman"/>
          <w:lang w:bidi="ar-SA"/>
          <w14:ligatures w14:val="standardContextual"/>
        </w:rPr>
        <w:t xml:space="preserve">buvo </w:t>
      </w:r>
      <w:r>
        <w:rPr>
          <w:rFonts w:eastAsia="Calibri" w:cs="Times New Roman"/>
          <w:lang w:bidi="ar-SA"/>
          <w14:ligatures w14:val="standardContextual"/>
        </w:rPr>
        <w:t>pateiktas a</w:t>
      </w:r>
      <w:r w:rsidRPr="00B62EE8">
        <w:rPr>
          <w:rFonts w:eastAsia="Calibri" w:cs="Times New Roman"/>
          <w:lang w:eastAsia="en-GB" w:bidi="ar-SA"/>
        </w:rPr>
        <w:t>plinkos ministro įsakymo „Dėl Lietuvos Respublikos aplinkos ministro 2016 m. spalio 27d. įsakymo Nr. D1-713 „Dėl statybos techninio reglamento STR 1.01.03:2017 „Statinių klasifikavimas“ patvirtinimo“ pakeitimo“ projektas</w:t>
      </w:r>
      <w:r>
        <w:rPr>
          <w:rStyle w:val="EndnoteReference"/>
          <w:rFonts w:eastAsia="Calibri" w:cs="Times New Roman"/>
          <w:lang w:eastAsia="en-GB" w:bidi="ar-SA"/>
        </w:rPr>
        <w:endnoteReference w:id="1"/>
      </w:r>
      <w:r>
        <w:rPr>
          <w:rFonts w:eastAsia="Calibri" w:cs="Times New Roman"/>
          <w:lang w:eastAsia="en-GB" w:bidi="ar-SA"/>
        </w:rPr>
        <w:t xml:space="preserve"> (toliau – Įsakymo projektas). </w:t>
      </w:r>
      <w:r w:rsidR="00B54050">
        <w:rPr>
          <w:rFonts w:eastAsia="Calibri" w:cs="Times New Roman"/>
          <w:lang w:eastAsia="en-GB" w:bidi="ar-SA"/>
        </w:rPr>
        <w:t xml:space="preserve">Šiuo metu nagrinėjamos suinteresuotų institucijų </w:t>
      </w:r>
      <w:r>
        <w:rPr>
          <w:rFonts w:eastAsia="Calibri" w:cs="Times New Roman"/>
          <w:lang w:eastAsia="en-GB" w:bidi="ar-SA"/>
        </w:rPr>
        <w:t xml:space="preserve"> </w:t>
      </w:r>
      <w:r w:rsidR="00B54050">
        <w:rPr>
          <w:rFonts w:eastAsia="Calibri" w:cs="Times New Roman"/>
          <w:lang w:eastAsia="en-GB" w:bidi="ar-SA"/>
        </w:rPr>
        <w:t xml:space="preserve">pateiktos pastabos ir pagal jas tikslinamas Įsakymo projektas. </w:t>
      </w:r>
    </w:p>
    <w:p w14:paraId="6571C965" w14:textId="296E961F" w:rsidR="00FE6A6A" w:rsidRPr="00B62EE8" w:rsidRDefault="00B54050" w:rsidP="00A3605E">
      <w:pPr>
        <w:ind w:firstLine="567"/>
        <w:contextualSpacing/>
        <w:rPr>
          <w:rFonts w:eastAsia="Calibri" w:cs="Times New Roman"/>
          <w:lang w:eastAsia="en-GB" w:bidi="ar-SA"/>
        </w:rPr>
      </w:pPr>
      <w:r>
        <w:rPr>
          <w:rFonts w:eastAsia="Calibri" w:cs="Times New Roman"/>
          <w:lang w:eastAsia="en-GB" w:bidi="ar-SA"/>
        </w:rPr>
        <w:t>Įsakymo</w:t>
      </w:r>
      <w:r w:rsidR="00FE6A6A">
        <w:rPr>
          <w:rFonts w:eastAsia="Calibri" w:cs="Times New Roman"/>
          <w:lang w:eastAsia="en-GB" w:bidi="ar-SA"/>
        </w:rPr>
        <w:t xml:space="preserve"> projekte siūlomos </w:t>
      </w:r>
      <w:r w:rsidR="00FE6A6A" w:rsidRPr="00B62EE8">
        <w:rPr>
          <w:rFonts w:eastAsia="Calibri" w:cs="Times New Roman"/>
          <w:lang w:eastAsia="en-GB" w:bidi="ar-SA"/>
        </w:rPr>
        <w:t xml:space="preserve"> priemonės: </w:t>
      </w:r>
    </w:p>
    <w:p w14:paraId="5948214C" w14:textId="621D4A0A" w:rsidR="00FE6A6A" w:rsidRPr="00A3605E" w:rsidRDefault="00FE6A6A" w:rsidP="00A3605E">
      <w:pPr>
        <w:pStyle w:val="ListParagraph"/>
        <w:numPr>
          <w:ilvl w:val="0"/>
          <w:numId w:val="7"/>
        </w:numPr>
        <w:ind w:left="0" w:firstLine="567"/>
        <w:rPr>
          <w:rFonts w:eastAsia="Calibri" w:cs="Times New Roman"/>
          <w:lang w:eastAsia="en-GB" w:bidi="ar-SA"/>
        </w:rPr>
      </w:pPr>
      <w:r w:rsidRPr="00A3605E">
        <w:rPr>
          <w:rFonts w:eastAsia="Calibri" w:cs="Times New Roman"/>
          <w:lang w:eastAsia="en-GB" w:bidi="ar-SA"/>
        </w:rPr>
        <w:t xml:space="preserve">Keičiamas statinių paskirčių </w:t>
      </w:r>
      <w:r w:rsidRPr="00A3605E">
        <w:rPr>
          <w:rFonts w:eastAsia="Calibri" w:cs="Times New Roman"/>
          <w:i/>
          <w:iCs/>
          <w:lang w:eastAsia="en-GB" w:bidi="ar-SA"/>
        </w:rPr>
        <w:t>klasifikavimas</w:t>
      </w:r>
      <w:r w:rsidRPr="00A3605E">
        <w:rPr>
          <w:rFonts w:eastAsia="Calibri" w:cs="Times New Roman"/>
          <w:lang w:eastAsia="en-GB" w:bidi="ar-SA"/>
        </w:rPr>
        <w:t>, siekiant jį sutapatinti su žemės naudojimo būdų turiniu, kuris naudojamas teritorijų planavimo dokumentų, užkoduojančiu teritorijų naudojimą pirminiame – t. y. teritorijų planavimo etape.</w:t>
      </w:r>
    </w:p>
    <w:p w14:paraId="3F32593F" w14:textId="7131D86D"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Statinių paskirčių klasifikavime įvedamas </w:t>
      </w:r>
      <w:r w:rsidRPr="00D37E9D">
        <w:rPr>
          <w:rFonts w:eastAsia="Calibri" w:cs="Times New Roman"/>
          <w:i/>
          <w:iCs/>
          <w:lang w:eastAsia="en-GB" w:bidi="ar-SA"/>
        </w:rPr>
        <w:t>turtinių vienetų</w:t>
      </w:r>
      <w:r w:rsidRPr="00D37E9D">
        <w:rPr>
          <w:rFonts w:eastAsia="Calibri" w:cs="Times New Roman"/>
          <w:lang w:eastAsia="en-GB" w:bidi="ar-SA"/>
        </w:rPr>
        <w:t xml:space="preserve"> (galimų atskirais nekilnojamojo turto kadastro objektais pastate suformuoti patalpų) apribojimas tam tikros paskirties statiniuose,  atsižvelgiant į tų paskirčių pastatų naudojimo specifiką. </w:t>
      </w:r>
    </w:p>
    <w:p w14:paraId="09968A4D" w14:textId="5A07B031"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Atsisakoma </w:t>
      </w:r>
      <w:r w:rsidRPr="00D37E9D">
        <w:rPr>
          <w:rFonts w:eastAsia="Calibri" w:cs="Times New Roman"/>
          <w:i/>
          <w:iCs/>
          <w:lang w:eastAsia="en-GB" w:bidi="ar-SA"/>
        </w:rPr>
        <w:t>nebeaktualių statinių paskirčių.</w:t>
      </w:r>
    </w:p>
    <w:p w14:paraId="6F44593A" w14:textId="5F689463"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Siekiant statinių naudojimo pagal paskirtį aiškumo ir teritorijų planavimo metu nustatyto teritorijos naudojimo būdo, išskiriami </w:t>
      </w:r>
      <w:r w:rsidRPr="00D37E9D">
        <w:rPr>
          <w:rFonts w:eastAsia="Calibri" w:cs="Times New Roman"/>
          <w:i/>
          <w:iCs/>
          <w:lang w:eastAsia="en-GB" w:bidi="ar-SA"/>
        </w:rPr>
        <w:t>mišrūs ir vienos paskirties pastatai</w:t>
      </w:r>
      <w:r w:rsidRPr="00D37E9D">
        <w:rPr>
          <w:rFonts w:eastAsia="Calibri" w:cs="Times New Roman"/>
          <w:lang w:eastAsia="en-GB" w:bidi="ar-SA"/>
        </w:rPr>
        <w:t xml:space="preserve"> (kuriuose nustatomas </w:t>
      </w:r>
      <w:r w:rsidRPr="00D37E9D">
        <w:rPr>
          <w:rFonts w:eastAsia="Calibri" w:cs="Times New Roman"/>
          <w:lang w:eastAsia="en-GB" w:bidi="ar-SA"/>
        </w:rPr>
        <w:lastRenderedPageBreak/>
        <w:t xml:space="preserve">galimas įvairių paskirčių patalpų santykis), nustatomi papildomos normos (infrastruktūros poreikis) ir techniniai reikalavimai projektuojant mišrius pastatus, taip pat sąlygos mišrių pastatų atsiradimui. </w:t>
      </w:r>
    </w:p>
    <w:p w14:paraId="2C1FFB2F" w14:textId="77777777"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Tikslinama </w:t>
      </w:r>
      <w:r w:rsidRPr="00D37E9D">
        <w:rPr>
          <w:rFonts w:eastAsia="Calibri" w:cs="Times New Roman"/>
          <w:i/>
          <w:iCs/>
          <w:lang w:eastAsia="en-GB" w:bidi="ar-SA"/>
        </w:rPr>
        <w:t>blokuotų pastatų sąvoka.</w:t>
      </w:r>
    </w:p>
    <w:p w14:paraId="61F41051" w14:textId="77777777"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Išskiriami rekreacinių </w:t>
      </w:r>
      <w:r w:rsidRPr="00D37E9D">
        <w:rPr>
          <w:rFonts w:eastAsia="Calibri" w:cs="Times New Roman"/>
          <w:i/>
          <w:iCs/>
          <w:lang w:eastAsia="en-GB" w:bidi="ar-SA"/>
        </w:rPr>
        <w:t>pastatų tipai –  skirti viešai ir privačiai rekreacijai.</w:t>
      </w:r>
    </w:p>
    <w:p w14:paraId="6B22CFE3" w14:textId="77777777"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Išskiriama atskira </w:t>
      </w:r>
      <w:r w:rsidRPr="00D37E9D">
        <w:rPr>
          <w:rFonts w:eastAsia="Calibri" w:cs="Times New Roman"/>
          <w:i/>
          <w:iCs/>
          <w:lang w:eastAsia="en-GB" w:bidi="ar-SA"/>
        </w:rPr>
        <w:t>specialiųjų paslaugų pastatų paskirtis</w:t>
      </w:r>
      <w:r w:rsidRPr="00D37E9D">
        <w:rPr>
          <w:rFonts w:eastAsia="Calibri" w:cs="Times New Roman"/>
          <w:lang w:eastAsia="en-GB" w:bidi="ar-SA"/>
        </w:rPr>
        <w:t>, siekiant prievolės gauti statybos leidimą norint keisti statinio paskirtį į didesnį poveikį aplinkinėms teritorijoms darančią pastatų ar patalpų paskirtį.</w:t>
      </w:r>
    </w:p>
    <w:p w14:paraId="318E16DA" w14:textId="77777777"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Naujai dėstomame statinių klasifikavime </w:t>
      </w:r>
      <w:r w:rsidRPr="00D37E9D">
        <w:rPr>
          <w:rFonts w:eastAsia="Calibri" w:cs="Times New Roman"/>
          <w:i/>
          <w:iCs/>
          <w:lang w:eastAsia="en-GB" w:bidi="ar-SA"/>
        </w:rPr>
        <w:t>nebelieka prievolės gauti statybos leidimą</w:t>
      </w:r>
      <w:r w:rsidRPr="00D37E9D">
        <w:rPr>
          <w:rFonts w:eastAsia="Calibri" w:cs="Times New Roman"/>
          <w:lang w:eastAsia="en-GB" w:bidi="ar-SA"/>
        </w:rPr>
        <w:t>, kai keičiamas tik pastato ar patalpos tipas (keičiama veikla pastate ar patalpoje į pagal savo pobūdį ar specifiką panašią veiklą).</w:t>
      </w:r>
    </w:p>
    <w:p w14:paraId="330F6584" w14:textId="77777777"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Tam tikroms atskirais nekilnojamojo turto kadastro objektais formuojamoms</w:t>
      </w:r>
      <w:r w:rsidRPr="00D37E9D">
        <w:rPr>
          <w:rFonts w:eastAsia="Calibri" w:cs="Times New Roman"/>
          <w:b/>
          <w:bCs/>
          <w:lang w:eastAsia="en-GB" w:bidi="ar-SA"/>
        </w:rPr>
        <w:t xml:space="preserve"> </w:t>
      </w:r>
      <w:r w:rsidRPr="00D37E9D">
        <w:rPr>
          <w:rFonts w:eastAsia="Calibri" w:cs="Times New Roman"/>
          <w:i/>
          <w:iCs/>
          <w:lang w:eastAsia="en-GB" w:bidi="ar-SA"/>
        </w:rPr>
        <w:t>patalpoms nustatomi reikalavimai dėl jų sudėties (tipologijos),</w:t>
      </w:r>
      <w:r w:rsidRPr="00D37E9D">
        <w:rPr>
          <w:rFonts w:eastAsia="Calibri" w:cs="Times New Roman"/>
          <w:b/>
          <w:bCs/>
          <w:lang w:eastAsia="en-GB" w:bidi="ar-SA"/>
        </w:rPr>
        <w:t xml:space="preserve"> </w:t>
      </w:r>
      <w:r w:rsidRPr="00D37E9D">
        <w:rPr>
          <w:rFonts w:eastAsia="Calibri" w:cs="Times New Roman"/>
          <w:lang w:eastAsia="en-GB" w:bidi="ar-SA"/>
        </w:rPr>
        <w:t xml:space="preserve">siekiant, kad nebūtų piktnaudžiaujama jų kiekiu pastate </w:t>
      </w:r>
      <w:bookmarkStart w:id="4" w:name="_Hlk153451096"/>
      <w:r w:rsidRPr="00D37E9D">
        <w:rPr>
          <w:rFonts w:eastAsia="Calibri" w:cs="Times New Roman"/>
          <w:lang w:eastAsia="en-GB" w:bidi="ar-SA"/>
        </w:rPr>
        <w:t xml:space="preserve">– </w:t>
      </w:r>
      <w:bookmarkEnd w:id="4"/>
      <w:r w:rsidRPr="00D37E9D">
        <w:rPr>
          <w:rFonts w:eastAsia="Calibri" w:cs="Times New Roman"/>
          <w:lang w:eastAsia="en-GB" w:bidi="ar-SA"/>
        </w:rPr>
        <w:t xml:space="preserve">t. y. atvejais, kai jos pagal faktą jos virsta butais. </w:t>
      </w:r>
    </w:p>
    <w:p w14:paraId="70B634E5" w14:textId="77777777"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Nustatomi </w:t>
      </w:r>
      <w:r w:rsidRPr="00D37E9D">
        <w:rPr>
          <w:rFonts w:eastAsia="Calibri" w:cs="Times New Roman"/>
          <w:i/>
          <w:iCs/>
          <w:lang w:eastAsia="en-GB" w:bidi="ar-SA"/>
        </w:rPr>
        <w:t>apribojimai pagalbinio ūkio pastatų statybai ir registravimui</w:t>
      </w:r>
      <w:r w:rsidRPr="00D37E9D">
        <w:rPr>
          <w:rFonts w:eastAsia="Calibri" w:cs="Times New Roman"/>
          <w:lang w:eastAsia="en-GB" w:bidi="ar-SA"/>
        </w:rPr>
        <w:t>, nesant pagrindinio pastato.</w:t>
      </w:r>
    </w:p>
    <w:p w14:paraId="19181B06" w14:textId="77777777" w:rsidR="00FE6A6A" w:rsidRPr="00D37E9D" w:rsidRDefault="00FE6A6A" w:rsidP="00A3605E">
      <w:pPr>
        <w:pStyle w:val="ListParagraph"/>
        <w:numPr>
          <w:ilvl w:val="0"/>
          <w:numId w:val="7"/>
        </w:numPr>
        <w:ind w:left="0" w:firstLine="567"/>
        <w:rPr>
          <w:rFonts w:eastAsia="Calibri" w:cs="Times New Roman"/>
          <w:lang w:eastAsia="en-GB" w:bidi="ar-SA"/>
        </w:rPr>
      </w:pPr>
      <w:r w:rsidRPr="00D37E9D">
        <w:rPr>
          <w:rFonts w:eastAsia="Calibri" w:cs="Times New Roman"/>
          <w:lang w:eastAsia="en-GB" w:bidi="ar-SA"/>
        </w:rPr>
        <w:t xml:space="preserve">Reglamentuojamas </w:t>
      </w:r>
      <w:r w:rsidRPr="00D37E9D">
        <w:rPr>
          <w:rFonts w:eastAsia="Calibri" w:cs="Times New Roman"/>
          <w:i/>
          <w:iCs/>
          <w:lang w:eastAsia="en-GB" w:bidi="ar-SA"/>
        </w:rPr>
        <w:t>naujas bendro gyvenimo namų pastatų ir patalpų tipas.</w:t>
      </w:r>
    </w:p>
    <w:p w14:paraId="47EC3492" w14:textId="77777777" w:rsidR="00B90193" w:rsidRDefault="00C6622A" w:rsidP="00F010CD">
      <w:pPr>
        <w:pStyle w:val="TableContents"/>
        <w:ind w:firstLine="567"/>
        <w:rPr>
          <w:bCs/>
          <w:lang w:val="en-GB"/>
        </w:rPr>
      </w:pPr>
      <w:r w:rsidRPr="00C6622A">
        <w:rPr>
          <w:b/>
        </w:rPr>
        <w:t xml:space="preserve">Dėl </w:t>
      </w:r>
      <w:r w:rsidRPr="00C6622A">
        <w:rPr>
          <w:b/>
          <w:lang w:val="en-GB"/>
        </w:rPr>
        <w:t>2.2 p.</w:t>
      </w:r>
      <w:r>
        <w:rPr>
          <w:bCs/>
          <w:lang w:val="en-GB"/>
        </w:rPr>
        <w:t xml:space="preserve"> </w:t>
      </w:r>
      <w:bookmarkStart w:id="5" w:name="_Hlk157764869"/>
    </w:p>
    <w:p w14:paraId="677816F9" w14:textId="22B6551E" w:rsidR="00D5268A" w:rsidRDefault="00C6622A" w:rsidP="00F010CD">
      <w:pPr>
        <w:pStyle w:val="TableContents"/>
        <w:ind w:firstLine="567"/>
        <w:rPr>
          <w:i/>
          <w:iCs/>
        </w:rPr>
      </w:pPr>
      <w:r w:rsidRPr="00C6622A">
        <w:rPr>
          <w:bCs/>
          <w:i/>
          <w:iCs/>
        </w:rPr>
        <w:t>„</w:t>
      </w:r>
      <w:bookmarkEnd w:id="5"/>
      <w:r w:rsidRPr="00C6622A">
        <w:rPr>
          <w:i/>
          <w:iCs/>
        </w:rPr>
        <w:t>Aplinkos ministerijai atsisakyti „automatinių pritarimų“ formavimo funkcijos ir spręsti dėl kitų priemonių, kurios užtikrintų, kad pateikti projektai bus įvertinti teisės aktų nustatytais pagrindais, numatyti pritarimų projektams galiojimo terminus.“</w:t>
      </w:r>
    </w:p>
    <w:p w14:paraId="1862F2E1" w14:textId="3C948167" w:rsidR="005F7164" w:rsidRDefault="000E3A3F" w:rsidP="00F010CD">
      <w:pPr>
        <w:pStyle w:val="TableContents"/>
        <w:ind w:firstLine="567"/>
      </w:pPr>
      <w:r>
        <w:rPr>
          <w:lang w:val="en-GB"/>
        </w:rPr>
        <w:t xml:space="preserve">2024-02-01 </w:t>
      </w:r>
      <w:proofErr w:type="spellStart"/>
      <w:r>
        <w:rPr>
          <w:lang w:val="en-GB"/>
        </w:rPr>
        <w:t>įsigaliojusio</w:t>
      </w:r>
      <w:proofErr w:type="spellEnd"/>
      <w:r>
        <w:rPr>
          <w:lang w:val="en-GB"/>
        </w:rPr>
        <w:t xml:space="preserve"> s</w:t>
      </w:r>
      <w:proofErr w:type="spellStart"/>
      <w:r w:rsidR="001A3681">
        <w:t>tatybos</w:t>
      </w:r>
      <w:proofErr w:type="spellEnd"/>
      <w:r w:rsidR="001A3681">
        <w:t xml:space="preserve"> technini</w:t>
      </w:r>
      <w:r>
        <w:t>o</w:t>
      </w:r>
      <w:r w:rsidR="001A3681">
        <w:t xml:space="preserve"> reglament</w:t>
      </w:r>
      <w:r>
        <w:t>o</w:t>
      </w:r>
      <w:r w:rsidR="001A3681">
        <w:t xml:space="preserve"> STR 1.05.01:2017 </w:t>
      </w:r>
      <w:bookmarkStart w:id="6" w:name="_Hlk157777146"/>
      <w:r w:rsidR="001A3681">
        <w:t>„</w:t>
      </w:r>
      <w:bookmarkEnd w:id="6"/>
      <w:r w:rsidR="001A3681">
        <w:t>Statybą leidžiantys dokumentai. Statybos užbaigimas. Nebaigto statinio registravimas ir perleidimas. Statybos sustabdymas. Savavališkos statybos padarinių šalinimas. Statybos pagal neteisėtai išduotą statybą leidžiantį dokumentą padarinių šalinimas“</w:t>
      </w:r>
      <w:r>
        <w:t xml:space="preserve"> redakcijoje</w:t>
      </w:r>
      <w:r w:rsidR="005F7164">
        <w:t xml:space="preserve"> (toliau – Reglamentas) </w:t>
      </w:r>
      <w:r>
        <w:t xml:space="preserve">nebeliko su </w:t>
      </w:r>
      <w:r w:rsidR="005F7164">
        <w:t>„a</w:t>
      </w:r>
      <w:r>
        <w:t>utomatini</w:t>
      </w:r>
      <w:r w:rsidR="005F7164">
        <w:t>ų</w:t>
      </w:r>
      <w:r>
        <w:t xml:space="preserve"> pritari</w:t>
      </w:r>
      <w:r w:rsidR="005F7164">
        <w:t>mų“</w:t>
      </w:r>
      <w:r>
        <w:t xml:space="preserve"> </w:t>
      </w:r>
      <w:r w:rsidR="001A3681">
        <w:t xml:space="preserve"> </w:t>
      </w:r>
      <w:r w:rsidR="005F7164">
        <w:t xml:space="preserve">formavimu susijusios funkcijos. </w:t>
      </w:r>
    </w:p>
    <w:p w14:paraId="22DFA61B" w14:textId="2B33BA7D" w:rsidR="005F7164" w:rsidRPr="005F7164" w:rsidRDefault="005F7164" w:rsidP="00F010CD">
      <w:pPr>
        <w:pStyle w:val="TableContents"/>
        <w:ind w:firstLine="567"/>
        <w:rPr>
          <w:bCs/>
          <w:i/>
          <w:iCs/>
          <w:lang w:val="en-GB"/>
        </w:rPr>
      </w:pPr>
      <w:r>
        <w:rPr>
          <w:color w:val="000000"/>
        </w:rPr>
        <w:t xml:space="preserve">Pagal Reglamento </w:t>
      </w:r>
      <w:r>
        <w:rPr>
          <w:color w:val="000000"/>
          <w:lang w:val="en-GB"/>
        </w:rPr>
        <w:t xml:space="preserve">16 p. </w:t>
      </w:r>
      <w:r>
        <w:rPr>
          <w:color w:val="000000"/>
        </w:rPr>
        <w:t xml:space="preserve">16. </w:t>
      </w:r>
      <w:r w:rsidRPr="005F7164">
        <w:rPr>
          <w:i/>
          <w:iCs/>
        </w:rPr>
        <w:t>„</w:t>
      </w:r>
      <w:r w:rsidRPr="005F7164">
        <w:rPr>
          <w:i/>
          <w:iCs/>
          <w:color w:val="000000"/>
        </w:rPr>
        <w:t>Statinio projektą tikrinantis asmuo ne vėliau kaip iki Statybos įstatymo [8.3] 27 straipsnio 12 dalyje nurodyto statinio projekto patikrinimo termino pabaigos IS „</w:t>
      </w:r>
      <w:proofErr w:type="spellStart"/>
      <w:r w:rsidRPr="005F7164">
        <w:rPr>
          <w:i/>
          <w:iCs/>
          <w:color w:val="000000"/>
        </w:rPr>
        <w:t>Infostatyba</w:t>
      </w:r>
      <w:proofErr w:type="spellEnd"/>
      <w:r w:rsidRPr="005F7164">
        <w:rPr>
          <w:i/>
          <w:iCs/>
          <w:color w:val="000000"/>
        </w:rPr>
        <w:t>“ paskelbia pritarimą ar nepritarimą statinio projektui. Nepritarus statinio projektui, IS „</w:t>
      </w:r>
      <w:proofErr w:type="spellStart"/>
      <w:r w:rsidRPr="005F7164">
        <w:rPr>
          <w:i/>
          <w:iCs/>
          <w:color w:val="000000"/>
        </w:rPr>
        <w:t>Infostatyba</w:t>
      </w:r>
      <w:proofErr w:type="spellEnd"/>
      <w:r w:rsidRPr="005F7164">
        <w:rPr>
          <w:i/>
          <w:iCs/>
          <w:color w:val="000000"/>
        </w:rPr>
        <w:t>“ paskelbiami motyvai nurodant konkrečius Statybos įstatymo [8.3] 24 straipsnio 3 dalyje nustatytų reikalavimų pažeidimus. Prašymo pateikėjas informaciją apie kiekvieną nepritarimą statinio projektui ir jo motyvus gauna per IS „</w:t>
      </w:r>
      <w:proofErr w:type="spellStart"/>
      <w:r w:rsidRPr="005F7164">
        <w:rPr>
          <w:i/>
          <w:iCs/>
          <w:color w:val="000000"/>
        </w:rPr>
        <w:t>Infostatyba</w:t>
      </w:r>
      <w:proofErr w:type="spellEnd"/>
      <w:r w:rsidRPr="005F7164">
        <w:rPr>
          <w:i/>
          <w:iCs/>
          <w:color w:val="000000"/>
        </w:rPr>
        <w:t>“ iškart po jo paskelbimo IS „</w:t>
      </w:r>
      <w:proofErr w:type="spellStart"/>
      <w:r w:rsidRPr="005F7164">
        <w:rPr>
          <w:i/>
          <w:iCs/>
          <w:color w:val="000000"/>
        </w:rPr>
        <w:t>Infostatyba</w:t>
      </w:r>
      <w:proofErr w:type="spellEnd"/>
      <w:r w:rsidRPr="005F7164">
        <w:rPr>
          <w:i/>
          <w:iCs/>
          <w:color w:val="000000"/>
        </w:rPr>
        <w:t>“.“</w:t>
      </w:r>
    </w:p>
    <w:p w14:paraId="42B01D00" w14:textId="77777777" w:rsidR="00B90193" w:rsidRDefault="009A1247" w:rsidP="00F010CD">
      <w:pPr>
        <w:pStyle w:val="TableContents"/>
        <w:ind w:firstLine="567"/>
        <w:rPr>
          <w:b/>
          <w:lang w:val="en-GB"/>
        </w:rPr>
      </w:pPr>
      <w:r w:rsidRPr="009A1247">
        <w:rPr>
          <w:b/>
        </w:rPr>
        <w:t xml:space="preserve">Dėl </w:t>
      </w:r>
      <w:r w:rsidRPr="009A1247">
        <w:rPr>
          <w:b/>
          <w:lang w:val="en-GB"/>
        </w:rPr>
        <w:t>2.3 p.</w:t>
      </w:r>
    </w:p>
    <w:p w14:paraId="7FF7E241" w14:textId="4BA98DC2" w:rsidR="00B54050" w:rsidRDefault="009A1247" w:rsidP="00F010CD">
      <w:pPr>
        <w:pStyle w:val="TableContents"/>
        <w:ind w:firstLine="567"/>
        <w:rPr>
          <w:i/>
          <w:iCs/>
        </w:rPr>
      </w:pPr>
      <w:r w:rsidRPr="009A1247">
        <w:rPr>
          <w:b/>
          <w:lang w:val="en-GB"/>
        </w:rPr>
        <w:t xml:space="preserve"> </w:t>
      </w:r>
      <w:bookmarkStart w:id="7" w:name="_Hlk157767144"/>
      <w:r w:rsidRPr="009A1247">
        <w:rPr>
          <w:bCs/>
          <w:i/>
          <w:iCs/>
        </w:rPr>
        <w:t>„</w:t>
      </w:r>
      <w:bookmarkEnd w:id="7"/>
      <w:r w:rsidRPr="009A1247">
        <w:rPr>
          <w:i/>
          <w:iCs/>
        </w:rPr>
        <w:t>Aplinkos ministerijai ir Valstybinei teritorijų planavimo ir statybos inspekcijai svarstyti dėl IS „</w:t>
      </w:r>
      <w:proofErr w:type="spellStart"/>
      <w:r w:rsidRPr="009A1247">
        <w:rPr>
          <w:i/>
          <w:iCs/>
        </w:rPr>
        <w:t>Infostatyba</w:t>
      </w:r>
      <w:proofErr w:type="spellEnd"/>
      <w:r w:rsidRPr="009A1247">
        <w:rPr>
          <w:i/>
          <w:iCs/>
        </w:rPr>
        <w:t>“ funkcionalumo papildymo ar kitų priemonių, siekiant fiksuoti statybą leidžiantį dokumentą išduodančių institucijų atliktus veiksmus ir (ar) juos padaryti efektyvesnius, tikrinti, ar nėra požymių dėl savavališkų statybų įteisinimo, kai apie tai nėra nurodyta pateiktame prašyme dėl statybą leidžiančio dokumento išdavimo.</w:t>
      </w:r>
      <w:bookmarkStart w:id="8" w:name="_Hlk157767154"/>
      <w:r w:rsidRPr="009A1247">
        <w:rPr>
          <w:i/>
          <w:iCs/>
        </w:rPr>
        <w:t>“</w:t>
      </w:r>
      <w:bookmarkEnd w:id="8"/>
    </w:p>
    <w:p w14:paraId="504145C6" w14:textId="5B6026EE" w:rsidR="009A1247" w:rsidRDefault="008A6BA5" w:rsidP="00F010CD">
      <w:pPr>
        <w:pStyle w:val="TableContents"/>
        <w:ind w:firstLine="567"/>
        <w:rPr>
          <w:i/>
          <w:iCs/>
        </w:rPr>
      </w:pPr>
      <w:r w:rsidRPr="008A6BA5">
        <w:t xml:space="preserve">Pagal </w:t>
      </w:r>
      <w:r>
        <w:rPr>
          <w:lang w:val="en-GB"/>
        </w:rPr>
        <w:t xml:space="preserve">2024-02-01 </w:t>
      </w:r>
      <w:proofErr w:type="spellStart"/>
      <w:r>
        <w:rPr>
          <w:lang w:val="en-GB"/>
        </w:rPr>
        <w:t>įsigaliojusios</w:t>
      </w:r>
      <w:proofErr w:type="spellEnd"/>
      <w:r>
        <w:rPr>
          <w:lang w:val="en-GB"/>
        </w:rPr>
        <w:t xml:space="preserve"> </w:t>
      </w:r>
      <w:proofErr w:type="spellStart"/>
      <w:r>
        <w:rPr>
          <w:lang w:val="en-GB"/>
        </w:rPr>
        <w:t>Reglamento</w:t>
      </w:r>
      <w:proofErr w:type="spellEnd"/>
      <w:r>
        <w:rPr>
          <w:lang w:val="en-GB"/>
        </w:rPr>
        <w:t xml:space="preserve"> </w:t>
      </w:r>
      <w:proofErr w:type="spellStart"/>
      <w:r>
        <w:rPr>
          <w:lang w:val="en-GB"/>
        </w:rPr>
        <w:t>redakcijos</w:t>
      </w:r>
      <w:proofErr w:type="spellEnd"/>
      <w:r>
        <w:rPr>
          <w:lang w:val="en-GB"/>
        </w:rPr>
        <w:t xml:space="preserve"> </w:t>
      </w:r>
      <w:r>
        <w:rPr>
          <w:color w:val="000000"/>
        </w:rPr>
        <w:t xml:space="preserve">13.9.p. savivaldybės meras arba jo įgaliotas savivaldybės administracijos valstybės tarnautojas ne vėliau kaip per 3 darbo dienas nuo prašymo užregistravimo patikrina: </w:t>
      </w:r>
      <w:r w:rsidR="007F4E97" w:rsidRPr="009A1247">
        <w:rPr>
          <w:bCs/>
          <w:i/>
          <w:iCs/>
        </w:rPr>
        <w:t>„</w:t>
      </w:r>
      <w:r w:rsidRPr="008A6BA5">
        <w:rPr>
          <w:i/>
          <w:iCs/>
          <w:color w:val="000000"/>
        </w:rPr>
        <w:t xml:space="preserve">ar nėra aplinkybių, kad prašymą išduoti statybą leidžiantį dokumentą pateikęs asmuo siekia gauti statybą leidžiantį dokumentą, įteisinantį jau atliktus savavališkus statybos darbus, dėl kurių nėra surašytas savavališkos statybos aktas ir tai nenurodyta prašyme. Laikoma, kad tokie požymiai yra, kai yra duomenų (su prašymu išduoti leidimą pateiktoje dokumentacijoje, viešai prieinamuose žemėlapiuose, </w:t>
      </w:r>
      <w:proofErr w:type="spellStart"/>
      <w:r w:rsidRPr="008A6BA5">
        <w:rPr>
          <w:i/>
          <w:iCs/>
          <w:color w:val="000000"/>
        </w:rPr>
        <w:t>ortofotografijose</w:t>
      </w:r>
      <w:proofErr w:type="spellEnd"/>
      <w:r w:rsidRPr="008A6BA5">
        <w:rPr>
          <w:i/>
          <w:iCs/>
          <w:color w:val="000000"/>
        </w:rPr>
        <w:t>, vietovių fotografijose („</w:t>
      </w:r>
      <w:proofErr w:type="spellStart"/>
      <w:r w:rsidRPr="008A6BA5">
        <w:rPr>
          <w:i/>
          <w:iCs/>
          <w:color w:val="000000"/>
        </w:rPr>
        <w:t>Street</w:t>
      </w:r>
      <w:proofErr w:type="spellEnd"/>
      <w:r w:rsidRPr="008A6BA5">
        <w:rPr>
          <w:i/>
          <w:iCs/>
          <w:color w:val="000000"/>
        </w:rPr>
        <w:t xml:space="preserve"> </w:t>
      </w:r>
      <w:proofErr w:type="spellStart"/>
      <w:r w:rsidRPr="008A6BA5">
        <w:rPr>
          <w:i/>
          <w:iCs/>
          <w:color w:val="000000"/>
        </w:rPr>
        <w:t>View</w:t>
      </w:r>
      <w:proofErr w:type="spellEnd"/>
      <w:r w:rsidRPr="008A6BA5">
        <w:rPr>
          <w:i/>
          <w:iCs/>
          <w:color w:val="000000"/>
        </w:rPr>
        <w:t>“), Lietuvos erdvinės informacijos portale, Topografijos ir inžinerinės infrastruktūros informacinėje sistemoje, </w:t>
      </w:r>
      <w:r w:rsidRPr="008A6BA5">
        <w:rPr>
          <w:i/>
          <w:iCs/>
          <w:color w:val="000000"/>
          <w:shd w:val="clear" w:color="auto" w:fill="FFFFFF"/>
        </w:rPr>
        <w:t>TPS „Vartai“ </w:t>
      </w:r>
      <w:r w:rsidRPr="008A6BA5">
        <w:rPr>
          <w:i/>
          <w:iCs/>
          <w:color w:val="000000"/>
        </w:rPr>
        <w:t>ar iš gautų skundų), kad statinys ar jo dalys, kurių statybai prašoma išduoti statybą leidžiantį dokumentą, galimai jau yra pastatyti</w:t>
      </w:r>
      <w:r w:rsidR="007F4E97">
        <w:rPr>
          <w:i/>
          <w:iCs/>
          <w:color w:val="000000"/>
        </w:rPr>
        <w:t>.</w:t>
      </w:r>
      <w:r w:rsidR="007F4E97" w:rsidRPr="009A1247">
        <w:rPr>
          <w:i/>
          <w:iCs/>
        </w:rPr>
        <w:t>“</w:t>
      </w:r>
    </w:p>
    <w:p w14:paraId="2CA29F68" w14:textId="77777777" w:rsidR="00670333" w:rsidRDefault="00670333" w:rsidP="00F010CD">
      <w:pPr>
        <w:pStyle w:val="TableContents"/>
        <w:ind w:firstLine="567"/>
      </w:pPr>
      <w:r>
        <w:t>Pritariame Valstybinės teritorijų planavimo ir statybos inspekcijos prie Aplinkos ministerijos nuomonei, kad Reglamente nenumatytas baigtinis sąrašas šaltinių, kurie turi būti patikrinti norint nustatyti, ar statinys, dėl kurio siekiama gauti statybą leidžiantį dokumentą, nėra savavališkas, todėl fiksuoti IS ,,</w:t>
      </w:r>
      <w:proofErr w:type="spellStart"/>
      <w:r>
        <w:t>Infostatyba</w:t>
      </w:r>
      <w:proofErr w:type="spellEnd"/>
      <w:r>
        <w:t>“ funkcionalumą, ar buvo patikrinti visi prieinami šaltiniai būtų sunkiai įmanoma.</w:t>
      </w:r>
    </w:p>
    <w:p w14:paraId="78695749" w14:textId="77777777" w:rsidR="00E220BF" w:rsidRDefault="009A1247" w:rsidP="00F010CD">
      <w:pPr>
        <w:pStyle w:val="TableContents"/>
        <w:ind w:firstLine="567"/>
        <w:rPr>
          <w:b/>
          <w:bCs/>
        </w:rPr>
      </w:pPr>
      <w:r w:rsidRPr="00CB665B">
        <w:rPr>
          <w:b/>
          <w:bCs/>
        </w:rPr>
        <w:lastRenderedPageBreak/>
        <w:t xml:space="preserve">Dėl 3.1 p. </w:t>
      </w:r>
    </w:p>
    <w:p w14:paraId="79092409" w14:textId="0917FD9E" w:rsidR="009A1247" w:rsidRPr="00CB665B" w:rsidRDefault="009A1247" w:rsidP="00F010CD">
      <w:pPr>
        <w:pStyle w:val="TableContents"/>
        <w:ind w:firstLine="567"/>
        <w:rPr>
          <w:i/>
          <w:iCs/>
        </w:rPr>
      </w:pPr>
      <w:r w:rsidRPr="00CB665B">
        <w:rPr>
          <w:i/>
          <w:iCs/>
        </w:rPr>
        <w:t>„Aplinkos ministerijai spręsti dėl nesudėtingų statinių naudojimo priežiūros reglamentavimo tobulinimo, pavyzdžiui, nustatyti pareigą juos įtraukti į sudaromus statinių, kurių naudojimo priežiūra bus atliekama, naudotojų sąrašus; supaprastinti šios priežiūros reikalavimus ir pan.“</w:t>
      </w:r>
    </w:p>
    <w:p w14:paraId="03339545" w14:textId="26C3450B" w:rsidR="00CB665B" w:rsidRPr="00CB665B" w:rsidRDefault="00CB665B" w:rsidP="00F010CD">
      <w:pPr>
        <w:ind w:firstLine="567"/>
        <w:rPr>
          <w:rFonts w:eastAsia="Times New Roman" w:cs="Times New Roman"/>
          <w:color w:val="000000"/>
          <w:lang w:val="en-GB" w:eastAsia="en-GB" w:bidi="ar-SA"/>
        </w:rPr>
      </w:pPr>
      <w:r w:rsidRPr="00CB665B">
        <w:rPr>
          <w:rFonts w:eastAsia="Calibri" w:cs="Times New Roman"/>
          <w:lang w:bidi="ar-SA"/>
          <w14:ligatures w14:val="standardContextual"/>
        </w:rPr>
        <w:t>Informuojame, kad Lietuvos Respublikos Seimas priėmė L</w:t>
      </w:r>
      <w:r w:rsidRPr="00CB665B">
        <w:rPr>
          <w:rFonts w:eastAsia="Times New Roman" w:cs="Times New Roman"/>
          <w:color w:val="000000"/>
          <w:lang w:eastAsia="en-GB" w:bidi="ar-SA"/>
        </w:rPr>
        <w:t xml:space="preserve">ietuvos Respublikos statybos įstatymo </w:t>
      </w:r>
      <w:r w:rsidR="00A94D1F">
        <w:rPr>
          <w:rFonts w:eastAsia="Times New Roman" w:cs="Times New Roman"/>
          <w:color w:val="000000"/>
          <w:lang w:eastAsia="en-GB" w:bidi="ar-SA"/>
        </w:rPr>
        <w:t>N</w:t>
      </w:r>
      <w:r w:rsidRPr="00CB665B">
        <w:rPr>
          <w:rFonts w:eastAsia="Times New Roman" w:cs="Times New Roman"/>
          <w:color w:val="000000"/>
          <w:lang w:eastAsia="en-GB" w:bidi="ar-SA"/>
        </w:rPr>
        <w:t>r.</w:t>
      </w:r>
      <w:r w:rsidR="00A94D1F">
        <w:rPr>
          <w:rFonts w:eastAsia="Times New Roman" w:cs="Times New Roman"/>
          <w:color w:val="000000"/>
          <w:lang w:eastAsia="en-GB" w:bidi="ar-SA"/>
        </w:rPr>
        <w:t>I</w:t>
      </w:r>
      <w:r w:rsidRPr="00CB665B">
        <w:rPr>
          <w:rFonts w:eastAsia="Times New Roman" w:cs="Times New Roman"/>
          <w:color w:val="000000"/>
          <w:lang w:eastAsia="en-GB" w:bidi="ar-SA"/>
        </w:rPr>
        <w:t>-1240 1, 2, 3, 4, 5, 6, 11</w:t>
      </w:r>
      <w:r w:rsidRPr="00CB665B">
        <w:rPr>
          <w:rFonts w:eastAsia="Times New Roman" w:cs="Times New Roman"/>
          <w:color w:val="000000"/>
          <w:vertAlign w:val="superscript"/>
          <w:lang w:eastAsia="en-GB" w:bidi="ar-SA"/>
        </w:rPr>
        <w:t>1</w:t>
      </w:r>
      <w:r w:rsidRPr="00CB665B">
        <w:rPr>
          <w:rFonts w:eastAsia="Times New Roman" w:cs="Times New Roman"/>
          <w:color w:val="000000"/>
          <w:lang w:eastAsia="en-GB" w:bidi="ar-SA"/>
        </w:rPr>
        <w:t>, 12, 14, 15, 17, 18, 22, 24, 26, 27, 27</w:t>
      </w:r>
      <w:r w:rsidRPr="00CB665B">
        <w:rPr>
          <w:rFonts w:eastAsia="Times New Roman" w:cs="Times New Roman"/>
          <w:color w:val="000000"/>
          <w:vertAlign w:val="superscript"/>
          <w:lang w:eastAsia="en-GB" w:bidi="ar-SA"/>
        </w:rPr>
        <w:t>1</w:t>
      </w:r>
      <w:r w:rsidRPr="00CB665B">
        <w:rPr>
          <w:rFonts w:eastAsia="Times New Roman" w:cs="Times New Roman"/>
          <w:color w:val="000000"/>
          <w:lang w:eastAsia="en-GB" w:bidi="ar-SA"/>
        </w:rPr>
        <w:t>, 28, 34, 37, 39, 47, 49, 51, 52</w:t>
      </w:r>
      <w:r w:rsidRPr="00CB665B">
        <w:rPr>
          <w:rFonts w:eastAsia="Times New Roman" w:cs="Times New Roman"/>
          <w:color w:val="000000"/>
          <w:vertAlign w:val="superscript"/>
          <w:lang w:eastAsia="en-GB" w:bidi="ar-SA"/>
        </w:rPr>
        <w:t>1</w:t>
      </w:r>
      <w:r w:rsidRPr="00CB665B">
        <w:rPr>
          <w:rFonts w:eastAsia="Times New Roman" w:cs="Times New Roman"/>
          <w:color w:val="000000"/>
          <w:lang w:eastAsia="en-GB" w:bidi="ar-SA"/>
        </w:rPr>
        <w:t>, 53, 55, 56, 57, 59 straipsnių, šeštojo skirsnio pavadinimo, 1 priedo pakeitimo ir įstatymo papildymo 11</w:t>
      </w:r>
      <w:r w:rsidRPr="00CB665B">
        <w:rPr>
          <w:rFonts w:eastAsia="Times New Roman" w:cs="Times New Roman"/>
          <w:color w:val="000000"/>
          <w:vertAlign w:val="superscript"/>
          <w:lang w:eastAsia="en-GB" w:bidi="ar-SA"/>
        </w:rPr>
        <w:t>2</w:t>
      </w:r>
      <w:r w:rsidRPr="00CB665B">
        <w:rPr>
          <w:rFonts w:eastAsia="Times New Roman" w:cs="Times New Roman"/>
          <w:color w:val="000000"/>
          <w:lang w:eastAsia="en-GB" w:bidi="ar-SA"/>
        </w:rPr>
        <w:t>, 27</w:t>
      </w:r>
      <w:r w:rsidRPr="00CB665B">
        <w:rPr>
          <w:rFonts w:eastAsia="Times New Roman" w:cs="Times New Roman"/>
          <w:color w:val="000000"/>
          <w:vertAlign w:val="superscript"/>
          <w:lang w:eastAsia="en-GB" w:bidi="ar-SA"/>
        </w:rPr>
        <w:t>2</w:t>
      </w:r>
      <w:r w:rsidRPr="00CB665B">
        <w:rPr>
          <w:rFonts w:eastAsia="Times New Roman" w:cs="Times New Roman"/>
          <w:color w:val="000000"/>
          <w:lang w:eastAsia="en-GB" w:bidi="ar-SA"/>
        </w:rPr>
        <w:t>, 68 straipsniais įstatymą</w:t>
      </w:r>
      <w:r>
        <w:rPr>
          <w:rStyle w:val="EndnoteReference"/>
          <w:rFonts w:eastAsia="Times New Roman" w:cs="Times New Roman"/>
          <w:color w:val="000000"/>
          <w:lang w:eastAsia="en-GB" w:bidi="ar-SA"/>
        </w:rPr>
        <w:endnoteReference w:id="2"/>
      </w:r>
      <w:r w:rsidR="00CD2C58">
        <w:rPr>
          <w:rFonts w:eastAsia="Times New Roman" w:cs="Times New Roman"/>
          <w:color w:val="000000"/>
          <w:lang w:eastAsia="en-GB" w:bidi="ar-SA"/>
        </w:rPr>
        <w:t xml:space="preserve"> (toliau – Įstatymas)</w:t>
      </w:r>
      <w:r w:rsidRPr="00CB665B">
        <w:rPr>
          <w:rFonts w:eastAsia="Times New Roman" w:cs="Times New Roman"/>
          <w:color w:val="000000"/>
          <w:lang w:eastAsia="en-GB" w:bidi="ar-SA"/>
        </w:rPr>
        <w:t>.</w:t>
      </w:r>
      <w:r w:rsidR="00CD2C58">
        <w:rPr>
          <w:rFonts w:eastAsia="Times New Roman" w:cs="Times New Roman"/>
          <w:color w:val="000000"/>
          <w:lang w:eastAsia="en-GB" w:bidi="ar-SA"/>
        </w:rPr>
        <w:t xml:space="preserve"> Įstatymo </w:t>
      </w:r>
      <w:r w:rsidR="00313277">
        <w:rPr>
          <w:rFonts w:eastAsia="Times New Roman" w:cs="Times New Roman"/>
          <w:color w:val="000000"/>
          <w:lang w:eastAsia="en-GB" w:bidi="ar-SA"/>
        </w:rPr>
        <w:t>2</w:t>
      </w:r>
      <w:r w:rsidR="00CD2C58">
        <w:rPr>
          <w:rFonts w:eastAsia="Times New Roman" w:cs="Times New Roman"/>
          <w:color w:val="000000"/>
          <w:lang w:val="en-GB" w:eastAsia="en-GB" w:bidi="ar-SA"/>
        </w:rPr>
        <w:t xml:space="preserve"> str. 3 d. </w:t>
      </w:r>
      <w:proofErr w:type="spellStart"/>
      <w:r w:rsidR="00CD2C58">
        <w:rPr>
          <w:rFonts w:eastAsia="Times New Roman" w:cs="Times New Roman"/>
          <w:color w:val="000000"/>
          <w:lang w:val="en-GB" w:eastAsia="en-GB" w:bidi="ar-SA"/>
        </w:rPr>
        <w:t>numatyta</w:t>
      </w:r>
      <w:proofErr w:type="spellEnd"/>
      <w:r w:rsidR="00CD2C58">
        <w:rPr>
          <w:rFonts w:eastAsia="Times New Roman" w:cs="Times New Roman"/>
          <w:color w:val="000000"/>
          <w:lang w:val="en-GB" w:eastAsia="en-GB" w:bidi="ar-SA"/>
        </w:rPr>
        <w:t xml:space="preserve">, </w:t>
      </w:r>
      <w:proofErr w:type="spellStart"/>
      <w:r w:rsidR="00CD2C58">
        <w:rPr>
          <w:rFonts w:eastAsia="Times New Roman" w:cs="Times New Roman"/>
          <w:color w:val="000000"/>
          <w:lang w:val="en-GB" w:eastAsia="en-GB" w:bidi="ar-SA"/>
        </w:rPr>
        <w:t>kad</w:t>
      </w:r>
      <w:proofErr w:type="spellEnd"/>
      <w:r w:rsidR="00CD2C58">
        <w:rPr>
          <w:rFonts w:eastAsia="Times New Roman" w:cs="Times New Roman"/>
          <w:color w:val="000000"/>
          <w:lang w:val="en-GB" w:eastAsia="en-GB" w:bidi="ar-SA"/>
        </w:rPr>
        <w:t xml:space="preserve"> </w:t>
      </w:r>
      <w:r w:rsidR="00CD2C58">
        <w:rPr>
          <w:color w:val="000000"/>
        </w:rPr>
        <w:t>nekilnojamojo turto kadastro objektų kiekis (pastatų ir patalpų) priskiriama prie esminių statinio projekto sprendinių</w:t>
      </w:r>
      <w:r w:rsidR="00395418">
        <w:rPr>
          <w:color w:val="000000"/>
        </w:rPr>
        <w:t>, kuriuos pažeidus, neišduodamas statybą leidžiantis dokumentas</w:t>
      </w:r>
      <w:r w:rsidR="00CD2C58">
        <w:rPr>
          <w:color w:val="000000"/>
        </w:rPr>
        <w:t xml:space="preserve">. </w:t>
      </w:r>
    </w:p>
    <w:p w14:paraId="04DBA675" w14:textId="777D0561" w:rsidR="00395418" w:rsidRDefault="00D40672" w:rsidP="00F010CD">
      <w:pPr>
        <w:ind w:firstLine="567"/>
        <w:rPr>
          <w:rFonts w:eastAsia="Calibri" w:cs="Times New Roman"/>
          <w:lang w:bidi="ar-SA"/>
          <w14:ligatures w14:val="standardContextual"/>
        </w:rPr>
      </w:pPr>
      <w:r w:rsidRPr="00D40672">
        <w:rPr>
          <w:rFonts w:eastAsia="Calibri" w:cs="Times New Roman"/>
          <w:lang w:bidi="ar-SA"/>
          <w14:ligatures w14:val="standardContextual"/>
        </w:rPr>
        <w:t>Nesudėtingie</w:t>
      </w:r>
      <w:r w:rsidR="00987CAB">
        <w:rPr>
          <w:rFonts w:eastAsia="Calibri" w:cs="Times New Roman"/>
          <w:lang w:bidi="ar-SA"/>
          <w14:ligatures w14:val="standardContextual"/>
        </w:rPr>
        <w:t>siems</w:t>
      </w:r>
      <w:r w:rsidRPr="00D40672">
        <w:rPr>
          <w:rFonts w:eastAsia="Calibri" w:cs="Times New Roman"/>
          <w:lang w:bidi="ar-SA"/>
          <w14:ligatures w14:val="standardContextual"/>
        </w:rPr>
        <w:t xml:space="preserve"> statiniams (dažniausiai pagalbinio ūkio pastatai, priklausiniai) </w:t>
      </w:r>
      <w:r w:rsidR="00CD2C58">
        <w:rPr>
          <w:rFonts w:eastAsia="Calibri" w:cs="Times New Roman"/>
          <w:lang w:bidi="ar-SA"/>
          <w14:ligatures w14:val="standardContextual"/>
        </w:rPr>
        <w:t xml:space="preserve">Įsakymo projekte </w:t>
      </w:r>
      <w:r w:rsidRPr="00D40672">
        <w:rPr>
          <w:rFonts w:eastAsia="Calibri" w:cs="Times New Roman"/>
          <w:lang w:bidi="ar-SA"/>
          <w14:ligatures w14:val="standardContextual"/>
        </w:rPr>
        <w:t>numatytas ribojimas juos formuoti kaip vien</w:t>
      </w:r>
      <w:r w:rsidR="00395418">
        <w:rPr>
          <w:rFonts w:eastAsia="Calibri" w:cs="Times New Roman"/>
          <w:lang w:bidi="ar-SA"/>
          <w14:ligatures w14:val="standardContextual"/>
        </w:rPr>
        <w:t>ą</w:t>
      </w:r>
      <w:r w:rsidRPr="00D40672">
        <w:rPr>
          <w:rFonts w:eastAsia="Calibri" w:cs="Times New Roman"/>
          <w:lang w:bidi="ar-SA"/>
          <w14:ligatures w14:val="standardContextual"/>
        </w:rPr>
        <w:t xml:space="preserve"> nek</w:t>
      </w:r>
      <w:r w:rsidRPr="00CB665B">
        <w:rPr>
          <w:rFonts w:eastAsia="Calibri" w:cs="Times New Roman"/>
          <w:lang w:bidi="ar-SA"/>
          <w14:ligatures w14:val="standardContextual"/>
        </w:rPr>
        <w:t>i</w:t>
      </w:r>
      <w:r w:rsidRPr="00D40672">
        <w:rPr>
          <w:rFonts w:eastAsia="Calibri" w:cs="Times New Roman"/>
          <w:lang w:bidi="ar-SA"/>
          <w14:ligatures w14:val="standardContextual"/>
        </w:rPr>
        <w:t xml:space="preserve">lnojamo turto kadastro objektą, </w:t>
      </w:r>
      <w:r w:rsidR="00395418">
        <w:rPr>
          <w:rFonts w:eastAsia="Calibri" w:cs="Times New Roman"/>
          <w:lang w:bidi="ar-SA"/>
          <w14:ligatures w14:val="standardContextual"/>
        </w:rPr>
        <w:t xml:space="preserve">t. y. </w:t>
      </w:r>
      <w:r w:rsidRPr="00D40672">
        <w:rPr>
          <w:rFonts w:eastAsia="Calibri" w:cs="Times New Roman"/>
          <w:lang w:bidi="ar-SA"/>
          <w14:ligatures w14:val="standardContextual"/>
        </w:rPr>
        <w:t>nenumatoma galimybė juose atskirais nekilnojamojo turto objektais formuoti patalpas</w:t>
      </w:r>
      <w:r w:rsidR="00CD2C58">
        <w:rPr>
          <w:rFonts w:eastAsia="Calibri" w:cs="Times New Roman"/>
          <w:lang w:bidi="ar-SA"/>
          <w14:ligatures w14:val="standardContextual"/>
        </w:rPr>
        <w:t>,</w:t>
      </w:r>
      <w:r w:rsidRPr="00D40672">
        <w:rPr>
          <w:rFonts w:eastAsia="Calibri" w:cs="Times New Roman"/>
          <w:lang w:bidi="ar-SA"/>
          <w14:ligatures w14:val="standardContextual"/>
        </w:rPr>
        <w:t xml:space="preserve">  taip pat pagalbinių statinių statybai nustatytas ribojimas – jų statyba galima tik esant pagrindiniam pastatui, kuriam jie tarnauja. </w:t>
      </w:r>
    </w:p>
    <w:p w14:paraId="68265AD6" w14:textId="6EB764FF" w:rsidR="00D40672" w:rsidRPr="00D40672" w:rsidRDefault="00D40672" w:rsidP="00F010CD">
      <w:pPr>
        <w:ind w:firstLine="567"/>
        <w:rPr>
          <w:rFonts w:eastAsia="Calibri" w:cs="Times New Roman"/>
          <w:lang w:bidi="ar-SA"/>
          <w14:ligatures w14:val="standardContextual"/>
        </w:rPr>
      </w:pPr>
      <w:r w:rsidRPr="00D40672">
        <w:rPr>
          <w:rFonts w:eastAsia="Calibri" w:cs="Times New Roman"/>
          <w:lang w:bidi="ar-SA"/>
          <w14:ligatures w14:val="standardContextual"/>
        </w:rPr>
        <w:t xml:space="preserve">Manome tai </w:t>
      </w:r>
      <w:r w:rsidR="00834758">
        <w:rPr>
          <w:rFonts w:eastAsia="Calibri" w:cs="Times New Roman"/>
          <w:lang w:bidi="ar-SA"/>
          <w14:ligatures w14:val="standardContextual"/>
        </w:rPr>
        <w:t xml:space="preserve">turėtų </w:t>
      </w:r>
      <w:r w:rsidRPr="00D40672">
        <w:rPr>
          <w:rFonts w:eastAsia="Calibri" w:cs="Times New Roman"/>
          <w:lang w:bidi="ar-SA"/>
          <w14:ligatures w14:val="standardContextual"/>
        </w:rPr>
        <w:t>užkirs</w:t>
      </w:r>
      <w:r w:rsidR="00834758">
        <w:rPr>
          <w:rFonts w:eastAsia="Calibri" w:cs="Times New Roman"/>
          <w:lang w:bidi="ar-SA"/>
          <w14:ligatures w14:val="standardContextual"/>
        </w:rPr>
        <w:t>ti</w:t>
      </w:r>
      <w:r w:rsidRPr="00D40672">
        <w:rPr>
          <w:rFonts w:eastAsia="Calibri" w:cs="Times New Roman"/>
          <w:lang w:bidi="ar-SA"/>
          <w14:ligatures w14:val="standardContextual"/>
        </w:rPr>
        <w:t xml:space="preserve"> kelią pažeidimams pirminiame – t. y.  </w:t>
      </w:r>
      <w:r w:rsidR="00395418">
        <w:rPr>
          <w:rFonts w:eastAsia="Calibri" w:cs="Times New Roman"/>
          <w:lang w:bidi="ar-SA"/>
          <w14:ligatures w14:val="standardContextual"/>
        </w:rPr>
        <w:t xml:space="preserve">statybą leidžiančio dokumento </w:t>
      </w:r>
      <w:r w:rsidRPr="00D40672">
        <w:rPr>
          <w:rFonts w:eastAsia="Calibri" w:cs="Times New Roman"/>
          <w:lang w:bidi="ar-SA"/>
          <w14:ligatures w14:val="standardContextual"/>
        </w:rPr>
        <w:t xml:space="preserve"> išdavimo procese</w:t>
      </w:r>
      <w:r w:rsidR="00987CAB">
        <w:rPr>
          <w:rFonts w:eastAsia="Calibri" w:cs="Times New Roman"/>
          <w:lang w:bidi="ar-SA"/>
          <w14:ligatures w14:val="standardContextual"/>
        </w:rPr>
        <w:t>.</w:t>
      </w:r>
      <w:r w:rsidRPr="00D40672">
        <w:rPr>
          <w:rFonts w:eastAsia="Calibri" w:cs="Times New Roman"/>
          <w:lang w:bidi="ar-SA"/>
          <w14:ligatures w14:val="standardContextual"/>
        </w:rPr>
        <w:t xml:space="preserve"> </w:t>
      </w:r>
    </w:p>
    <w:p w14:paraId="2277A18E" w14:textId="61BED499" w:rsidR="00D40672" w:rsidRDefault="00D40672" w:rsidP="00F010CD">
      <w:pPr>
        <w:ind w:firstLine="567"/>
        <w:rPr>
          <w:rFonts w:eastAsia="Calibri" w:cs="Times New Roman"/>
          <w:lang w:bidi="ar-SA"/>
          <w14:ligatures w14:val="standardContextual"/>
        </w:rPr>
      </w:pPr>
      <w:r w:rsidRPr="00D40672">
        <w:rPr>
          <w:rFonts w:eastAsia="Calibri" w:cs="Times New Roman"/>
          <w:lang w:bidi="ar-SA"/>
          <w14:ligatures w14:val="standardContextual"/>
        </w:rPr>
        <w:t xml:space="preserve">Šiuo metu </w:t>
      </w:r>
      <w:r w:rsidR="00395418">
        <w:rPr>
          <w:rFonts w:eastAsia="Calibri" w:cs="Times New Roman"/>
          <w:lang w:bidi="ar-SA"/>
          <w14:ligatures w14:val="standardContextual"/>
        </w:rPr>
        <w:t xml:space="preserve">rengiamas </w:t>
      </w:r>
      <w:r w:rsidR="00395418">
        <w:rPr>
          <w:color w:val="000000"/>
        </w:rPr>
        <w:t>statybos techninį reglamentą STR 1.07.03:2017 „Statinių techninės ir naudojimo priežiūros tvarka.</w:t>
      </w:r>
      <w:r w:rsidR="00395418">
        <w:rPr>
          <w:caps/>
          <w:color w:val="000000"/>
        </w:rPr>
        <w:t> N</w:t>
      </w:r>
      <w:r w:rsidR="00395418">
        <w:rPr>
          <w:color w:val="000000"/>
        </w:rPr>
        <w:t xml:space="preserve">aujų nekilnojamojo turto kadastro objektų formavimo tvarka“ pakeitimo projektas ir </w:t>
      </w:r>
      <w:r w:rsidR="00395418">
        <w:rPr>
          <w:rFonts w:eastAsia="Calibri" w:cs="Times New Roman"/>
          <w:lang w:bidi="ar-SA"/>
          <w14:ligatures w14:val="standardContextual"/>
        </w:rPr>
        <w:t>jame numatoma atsižvelgti į</w:t>
      </w:r>
      <w:r w:rsidRPr="00D40672">
        <w:rPr>
          <w:rFonts w:eastAsia="Calibri" w:cs="Times New Roman"/>
          <w:lang w:bidi="ar-SA"/>
          <w14:ligatures w14:val="standardContextual"/>
        </w:rPr>
        <w:t xml:space="preserve"> </w:t>
      </w:r>
      <w:r w:rsidR="00395418">
        <w:rPr>
          <w:rFonts w:eastAsia="Calibri" w:cs="Times New Roman"/>
          <w:lang w:bidi="ar-SA"/>
          <w14:ligatures w14:val="standardContextual"/>
        </w:rPr>
        <w:t xml:space="preserve">Jūsų pastabas </w:t>
      </w:r>
      <w:r w:rsidRPr="00D40672">
        <w:rPr>
          <w:rFonts w:eastAsia="Calibri" w:cs="Times New Roman"/>
          <w:lang w:bidi="ar-SA"/>
          <w14:ligatures w14:val="standardContextual"/>
        </w:rPr>
        <w:t xml:space="preserve"> dėl nesudėtingų</w:t>
      </w:r>
      <w:r w:rsidR="00395418">
        <w:rPr>
          <w:rFonts w:eastAsia="Calibri" w:cs="Times New Roman"/>
          <w:lang w:bidi="ar-SA"/>
          <w14:ligatures w14:val="standardContextual"/>
        </w:rPr>
        <w:t>jų</w:t>
      </w:r>
      <w:r w:rsidRPr="00D40672">
        <w:rPr>
          <w:rFonts w:eastAsia="Calibri" w:cs="Times New Roman"/>
          <w:lang w:bidi="ar-SA"/>
          <w14:ligatures w14:val="standardContextual"/>
        </w:rPr>
        <w:t xml:space="preserve"> statinių naudojimo priežiūros.</w:t>
      </w:r>
    </w:p>
    <w:p w14:paraId="1D7D007D" w14:textId="5E4C97AE" w:rsidR="009A1247" w:rsidRDefault="00C423AD" w:rsidP="00935919">
      <w:pPr>
        <w:pStyle w:val="TableContents"/>
        <w:spacing w:line="276" w:lineRule="auto"/>
        <w:ind w:firstLine="567"/>
      </w:pPr>
      <w:r>
        <w:t>Rašte pateiktą informaciją paskelbsime Aplinkos ministerijos interneto svetainėje.</w:t>
      </w:r>
    </w:p>
    <w:p w14:paraId="7EA041CF" w14:textId="77777777" w:rsidR="00A94D1F" w:rsidRDefault="00A94D1F" w:rsidP="00935919">
      <w:pPr>
        <w:pStyle w:val="TableContents"/>
        <w:spacing w:line="276" w:lineRule="auto"/>
        <w:ind w:firstLine="567"/>
      </w:pPr>
    </w:p>
    <w:p w14:paraId="3CA846C0" w14:textId="77777777" w:rsidR="00A94D1F" w:rsidRDefault="00A94D1F" w:rsidP="00935919">
      <w:pPr>
        <w:pStyle w:val="TableContents"/>
        <w:spacing w:line="276" w:lineRule="auto"/>
        <w:ind w:firstLine="567"/>
      </w:pPr>
    </w:p>
    <w:p w14:paraId="3C27D159" w14:textId="77777777" w:rsidR="00A94D1F" w:rsidRPr="009A1247" w:rsidRDefault="00A94D1F" w:rsidP="00935919">
      <w:pPr>
        <w:pStyle w:val="TableContents"/>
        <w:spacing w:line="276" w:lineRule="auto"/>
        <w:ind w:firstLine="567"/>
      </w:pPr>
    </w:p>
    <w:p w14:paraId="7E287D7F" w14:textId="77777777" w:rsidR="009A1247" w:rsidRPr="00C6622A" w:rsidRDefault="009A1247" w:rsidP="00935919">
      <w:pPr>
        <w:pStyle w:val="TableContents"/>
        <w:spacing w:line="276" w:lineRule="auto"/>
        <w:ind w:firstLine="567"/>
        <w:rPr>
          <w:bCs/>
          <w:i/>
          <w:iCs/>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14:paraId="0C7B87C5" w14:textId="77777777">
        <w:trPr>
          <w:trHeight w:val="340"/>
        </w:trPr>
        <w:tc>
          <w:tcPr>
            <w:tcW w:w="4817" w:type="dxa"/>
            <w:vAlign w:val="bottom"/>
          </w:tcPr>
          <w:p w14:paraId="05164DD7" w14:textId="798B3B35" w:rsidR="00796197" w:rsidRDefault="00224330" w:rsidP="00935919">
            <w:pPr>
              <w:pStyle w:val="TableContents"/>
              <w:spacing w:line="276" w:lineRule="auto"/>
            </w:pPr>
            <w:r>
              <w:t>Aplinkos viceministrė</w:t>
            </w:r>
          </w:p>
        </w:tc>
        <w:tc>
          <w:tcPr>
            <w:tcW w:w="4826" w:type="dxa"/>
            <w:vAlign w:val="bottom"/>
          </w:tcPr>
          <w:p w14:paraId="43B4DC7D" w14:textId="0C5DBA63" w:rsidR="00796197" w:rsidRDefault="00224330" w:rsidP="00935919">
            <w:pPr>
              <w:spacing w:line="276" w:lineRule="auto"/>
              <w:ind w:right="34"/>
              <w:jc w:val="right"/>
            </w:pPr>
            <w:r>
              <w:t>Daiva Matusevičė</w:t>
            </w:r>
          </w:p>
        </w:tc>
      </w:tr>
    </w:tbl>
    <w:p w14:paraId="7A145AAB" w14:textId="77777777" w:rsidR="00796197" w:rsidRDefault="00796197" w:rsidP="00935919">
      <w:pPr>
        <w:pStyle w:val="BodyText"/>
        <w:spacing w:line="276" w:lineRule="auto"/>
      </w:pPr>
    </w:p>
    <w:p w14:paraId="79E7449C" w14:textId="77777777" w:rsidR="00796197" w:rsidRDefault="00796197">
      <w:pPr>
        <w:pStyle w:val="BodyText"/>
      </w:pPr>
    </w:p>
    <w:p w14:paraId="3840037E" w14:textId="77777777" w:rsidR="00796197" w:rsidRDefault="00796197">
      <w:pPr>
        <w:pStyle w:val="BodyText"/>
      </w:pPr>
    </w:p>
    <w:p w14:paraId="0AD2C521" w14:textId="77777777" w:rsidR="00796197" w:rsidRDefault="00796197">
      <w:pPr>
        <w:pStyle w:val="BodyText"/>
      </w:pPr>
    </w:p>
    <w:p w14:paraId="52E139FC" w14:textId="77777777" w:rsidR="00796197" w:rsidRDefault="00796197">
      <w:pPr>
        <w:pStyle w:val="BodyText"/>
      </w:pPr>
    </w:p>
    <w:p w14:paraId="257A5ED3" w14:textId="77777777" w:rsidR="00796197" w:rsidRDefault="00173BFB" w:rsidP="00173BFB">
      <w:pPr>
        <w:pStyle w:val="BodyText"/>
        <w:tabs>
          <w:tab w:val="left" w:pos="2355"/>
        </w:tabs>
      </w:pPr>
      <w:r>
        <w:tab/>
      </w:r>
    </w:p>
    <w:p w14:paraId="4A176409" w14:textId="77777777" w:rsidR="00F067D2" w:rsidRDefault="00F067D2" w:rsidP="00173BFB">
      <w:pPr>
        <w:pStyle w:val="BodyText"/>
        <w:tabs>
          <w:tab w:val="left" w:pos="2355"/>
        </w:tabs>
      </w:pPr>
    </w:p>
    <w:p w14:paraId="1AE86D39" w14:textId="77777777" w:rsidR="00F067D2" w:rsidRDefault="00F067D2" w:rsidP="00173BFB">
      <w:pPr>
        <w:pStyle w:val="BodyText"/>
        <w:tabs>
          <w:tab w:val="left" w:pos="2355"/>
        </w:tabs>
      </w:pPr>
    </w:p>
    <w:p w14:paraId="2551F39C" w14:textId="77777777" w:rsidR="00F067D2" w:rsidRDefault="00F067D2" w:rsidP="00173BFB">
      <w:pPr>
        <w:pStyle w:val="BodyText"/>
        <w:tabs>
          <w:tab w:val="left" w:pos="2355"/>
        </w:tabs>
      </w:pPr>
    </w:p>
    <w:p w14:paraId="700F2E01" w14:textId="77777777" w:rsidR="00F067D2" w:rsidRDefault="00F067D2" w:rsidP="00173BFB">
      <w:pPr>
        <w:pStyle w:val="BodyText"/>
        <w:tabs>
          <w:tab w:val="left" w:pos="2355"/>
        </w:tabs>
      </w:pPr>
    </w:p>
    <w:p w14:paraId="63AE0C98" w14:textId="77777777" w:rsidR="00F067D2" w:rsidRDefault="00F067D2" w:rsidP="00173BFB">
      <w:pPr>
        <w:pStyle w:val="BodyText"/>
        <w:tabs>
          <w:tab w:val="left" w:pos="2355"/>
        </w:tabs>
      </w:pPr>
    </w:p>
    <w:p w14:paraId="220B30CA" w14:textId="77777777" w:rsidR="00687DC2" w:rsidRPr="0051686C" w:rsidRDefault="00687DC2" w:rsidP="00173BFB">
      <w:pPr>
        <w:pStyle w:val="BodyText"/>
        <w:tabs>
          <w:tab w:val="left" w:pos="2355"/>
        </w:tabs>
        <w:rPr>
          <w:lang w:val="en-GB"/>
        </w:rPr>
      </w:pPr>
    </w:p>
    <w:p w14:paraId="62949C2B" w14:textId="77777777" w:rsidR="00796197" w:rsidRDefault="00796197">
      <w:pPr>
        <w:pStyle w:val="BodyText"/>
      </w:pPr>
    </w:p>
    <w:p w14:paraId="7A37FD73" w14:textId="77777777" w:rsidR="00796197" w:rsidRDefault="00796197">
      <w:pPr>
        <w:pStyle w:val="BodyText"/>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14:paraId="599D19E5" w14:textId="77777777" w:rsidTr="00224330">
        <w:trPr>
          <w:cantSplit/>
          <w:trHeight w:val="340"/>
        </w:trPr>
        <w:tc>
          <w:tcPr>
            <w:tcW w:w="9643" w:type="dxa"/>
          </w:tcPr>
          <w:p w14:paraId="63FD902B" w14:textId="77777777" w:rsidR="005075D1" w:rsidRDefault="005075D1">
            <w:pPr>
              <w:pStyle w:val="TableContents"/>
            </w:pPr>
          </w:p>
          <w:p w14:paraId="3130933C" w14:textId="77777777" w:rsidR="00A1228F" w:rsidRPr="00A1228F" w:rsidRDefault="00A1228F" w:rsidP="00A1228F">
            <w:pPr>
              <w:pStyle w:val="TableContents"/>
              <w:rPr>
                <w:sz w:val="18"/>
                <w:szCs w:val="18"/>
              </w:rPr>
            </w:pPr>
          </w:p>
          <w:p w14:paraId="2F8D4502" w14:textId="547DD10D" w:rsidR="00A1228F" w:rsidRPr="0021616F" w:rsidRDefault="00A1228F" w:rsidP="00F03E7A">
            <w:pPr>
              <w:pStyle w:val="TableContents"/>
              <w:keepLines/>
              <w:rPr>
                <w:sz w:val="18"/>
                <w:szCs w:val="18"/>
              </w:rPr>
            </w:pPr>
          </w:p>
        </w:tc>
      </w:tr>
    </w:tbl>
    <w:p w14:paraId="7AF73A8F" w14:textId="77777777" w:rsidR="00796197" w:rsidRDefault="00796197">
      <w:pPr>
        <w:pStyle w:val="BodyText"/>
      </w:pPr>
    </w:p>
    <w:sectPr w:rsidR="00796197" w:rsidSect="00887040">
      <w:headerReference w:type="even" r:id="rId9"/>
      <w:headerReference w:type="default" r:id="rId10"/>
      <w:footerReference w:type="default" r:id="rId11"/>
      <w:footerReference w:type="first" r:id="rId12"/>
      <w:footnotePr>
        <w:pos w:val="beneathText"/>
        <w:numRestart w:val="eachPage"/>
      </w:footnotePr>
      <w:endnotePr>
        <w:numFmt w:val="decimal"/>
      </w:endnotePr>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4546" w14:textId="77777777" w:rsidR="00887040" w:rsidRDefault="00887040">
      <w:r>
        <w:separator/>
      </w:r>
    </w:p>
  </w:endnote>
  <w:endnote w:type="continuationSeparator" w:id="0">
    <w:p w14:paraId="705C5776" w14:textId="77777777" w:rsidR="00887040" w:rsidRDefault="00887040">
      <w:r>
        <w:continuationSeparator/>
      </w:r>
    </w:p>
  </w:endnote>
  <w:endnote w:id="1">
    <w:p w14:paraId="0FE95BA6" w14:textId="77777777" w:rsidR="00FE6A6A" w:rsidRDefault="00FE6A6A" w:rsidP="00FE6A6A">
      <w:pPr>
        <w:pStyle w:val="EndnoteText"/>
      </w:pPr>
      <w:r>
        <w:rPr>
          <w:rStyle w:val="EndnoteReference"/>
        </w:rPr>
        <w:endnoteRef/>
      </w:r>
      <w:r>
        <w:t xml:space="preserve"> </w:t>
      </w:r>
      <w:hyperlink r:id="rId1" w:history="1">
        <w:r w:rsidRPr="007A4A72">
          <w:rPr>
            <w:rStyle w:val="Hyperlink"/>
          </w:rPr>
          <w:t>https://e-seimas.lrs.lt/portal/legalAct/lt/TAP/465610309a8411eea70ce7cabd08f150</w:t>
        </w:r>
      </w:hyperlink>
    </w:p>
  </w:endnote>
  <w:endnote w:id="2">
    <w:p w14:paraId="1BCE87B8" w14:textId="4713E4EE" w:rsidR="00CB665B" w:rsidRDefault="00CB665B">
      <w:pPr>
        <w:pStyle w:val="EndnoteText"/>
      </w:pPr>
      <w:r>
        <w:rPr>
          <w:rStyle w:val="EndnoteReference"/>
        </w:rPr>
        <w:endnoteRef/>
      </w:r>
      <w:r>
        <w:t xml:space="preserve"> </w:t>
      </w:r>
      <w:hyperlink r:id="rId2" w:history="1">
        <w:r w:rsidRPr="00CD72F9">
          <w:rPr>
            <w:rStyle w:val="Hyperlink"/>
          </w:rPr>
          <w:t>https://e-seimas.lrs.lt/portal/legalAct/lt/TAD/b9a7f222a0aa11ee8172b53a675305ab?jfwid=-grpv90wlc</w:t>
        </w:r>
      </w:hyperlink>
    </w:p>
    <w:p w14:paraId="68032428" w14:textId="77777777" w:rsidR="00CB665B" w:rsidRDefault="00CB665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29A9" w14:textId="77777777" w:rsidR="00796197" w:rsidRDefault="00796197">
    <w:pPr>
      <w:pStyle w:val="Footer"/>
      <w:jc w:val="right"/>
      <w:rPr>
        <w:rFonts w:ascii="Arial" w:hAnsi="Arial"/>
        <w:sz w:val="10"/>
        <w:lang w:val="en-US"/>
      </w:rPr>
    </w:pPr>
  </w:p>
  <w:p w14:paraId="4C96E52A" w14:textId="77777777" w:rsidR="00796197" w:rsidRDefault="00796197">
    <w:pPr>
      <w:pStyle w:val="Footer"/>
      <w:jc w:val="right"/>
      <w:rPr>
        <w:rFonts w:ascii="Arial" w:hAnsi="Arial"/>
        <w:sz w:val="10"/>
        <w:lang w:val="en-US"/>
      </w:rPr>
    </w:pPr>
  </w:p>
  <w:p w14:paraId="53E25742" w14:textId="77777777" w:rsidR="00796197" w:rsidRDefault="00796197">
    <w:pPr>
      <w:pStyle w:val="Footer"/>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822E" w14:textId="77777777" w:rsidR="00796197" w:rsidRPr="00796197" w:rsidRDefault="00796197" w:rsidP="0053170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AD0E" w14:textId="77777777" w:rsidR="00887040" w:rsidRDefault="00887040">
      <w:r>
        <w:separator/>
      </w:r>
    </w:p>
  </w:footnote>
  <w:footnote w:type="continuationSeparator" w:id="0">
    <w:p w14:paraId="27292553" w14:textId="77777777" w:rsidR="00887040" w:rsidRDefault="0088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FEBB" w14:textId="77777777"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14:paraId="35A0264C" w14:textId="77777777" w:rsidR="00796197" w:rsidRDefault="0079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4892" w14:textId="77777777"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separate"/>
    </w:r>
    <w:r w:rsidR="00961D8B">
      <w:rPr>
        <w:rStyle w:val="PageNumber"/>
        <w:noProof/>
      </w:rPr>
      <w:t>2</w:t>
    </w:r>
    <w:r>
      <w:rPr>
        <w:rStyle w:val="PageNumber"/>
      </w:rPr>
      <w:fldChar w:fldCharType="end"/>
    </w:r>
  </w:p>
  <w:p w14:paraId="0118D9E4" w14:textId="77777777" w:rsidR="00796197" w:rsidRDefault="0079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C683174"/>
    <w:multiLevelType w:val="hybridMultilevel"/>
    <w:tmpl w:val="89DC320C"/>
    <w:lvl w:ilvl="0" w:tplc="94283A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48B48D7"/>
    <w:multiLevelType w:val="hybridMultilevel"/>
    <w:tmpl w:val="3DF65238"/>
    <w:lvl w:ilvl="0" w:tplc="94283A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72D5AF7"/>
    <w:multiLevelType w:val="hybridMultilevel"/>
    <w:tmpl w:val="3440FEB4"/>
    <w:lvl w:ilvl="0" w:tplc="94283A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7D74546"/>
    <w:multiLevelType w:val="hybridMultilevel"/>
    <w:tmpl w:val="C2B87F0C"/>
    <w:lvl w:ilvl="0" w:tplc="94283A5E">
      <w:start w:val="3"/>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21CB3"/>
    <w:multiLevelType w:val="hybridMultilevel"/>
    <w:tmpl w:val="585C329A"/>
    <w:lvl w:ilvl="0" w:tplc="FFFFFFFF">
      <w:start w:val="1"/>
      <w:numFmt w:val="decimal"/>
      <w:lvlText w:val="%1."/>
      <w:lvlJc w:val="left"/>
      <w:pPr>
        <w:ind w:left="1429" w:hanging="360"/>
      </w:pPr>
      <w:rPr>
        <w:rFonts w:ascii="Times New Roman" w:eastAsia="Calibri" w:hAnsi="Times New Roman" w:cs="Times New Roman"/>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37167820"/>
    <w:multiLevelType w:val="hybridMultilevel"/>
    <w:tmpl w:val="3DD202F6"/>
    <w:lvl w:ilvl="0" w:tplc="E7346B30">
      <w:start w:val="1"/>
      <w:numFmt w:val="decimal"/>
      <w:lvlText w:val="%1."/>
      <w:lvlJc w:val="left"/>
      <w:pPr>
        <w:ind w:left="2149" w:hanging="360"/>
      </w:pPr>
      <w:rPr>
        <w:rFonts w:ascii="Times New Roman" w:eastAsia="Calibri" w:hAnsi="Times New Roman" w:cs="Times New Roman"/>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3E9927ED"/>
    <w:multiLevelType w:val="hybridMultilevel"/>
    <w:tmpl w:val="EE40B660"/>
    <w:lvl w:ilvl="0" w:tplc="19204C8A">
      <w:start w:val="1"/>
      <w:numFmt w:val="decimal"/>
      <w:suff w:val="space"/>
      <w:lvlText w:val="%1."/>
      <w:lvlJc w:val="left"/>
      <w:pPr>
        <w:ind w:left="737" w:firstLine="397"/>
      </w:pPr>
      <w:rPr>
        <w:rFonts w:ascii="Times New Roman" w:eastAsia="Calibri" w:hAnsi="Times New Roman" w:cs="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40C762E6"/>
    <w:multiLevelType w:val="hybridMultilevel"/>
    <w:tmpl w:val="6EF2A236"/>
    <w:lvl w:ilvl="0" w:tplc="94283A5E">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4B34CFC"/>
    <w:multiLevelType w:val="hybridMultilevel"/>
    <w:tmpl w:val="3A0E861A"/>
    <w:lvl w:ilvl="0" w:tplc="94283A5E">
      <w:start w:val="3"/>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589A4DB8"/>
    <w:multiLevelType w:val="hybridMultilevel"/>
    <w:tmpl w:val="1764D006"/>
    <w:lvl w:ilvl="0" w:tplc="94283A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7157657A"/>
    <w:multiLevelType w:val="hybridMultilevel"/>
    <w:tmpl w:val="41C22AFA"/>
    <w:lvl w:ilvl="0" w:tplc="94283A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A474CF0"/>
    <w:multiLevelType w:val="hybridMultilevel"/>
    <w:tmpl w:val="DB701194"/>
    <w:lvl w:ilvl="0" w:tplc="94283A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00029946">
    <w:abstractNumId w:val="0"/>
  </w:num>
  <w:num w:numId="2" w16cid:durableId="1318657072">
    <w:abstractNumId w:val="7"/>
  </w:num>
  <w:num w:numId="3" w16cid:durableId="1138380423">
    <w:abstractNumId w:val="8"/>
  </w:num>
  <w:num w:numId="4" w16cid:durableId="1770740158">
    <w:abstractNumId w:val="4"/>
  </w:num>
  <w:num w:numId="5" w16cid:durableId="1529176333">
    <w:abstractNumId w:val="10"/>
  </w:num>
  <w:num w:numId="6" w16cid:durableId="270556287">
    <w:abstractNumId w:val="9"/>
  </w:num>
  <w:num w:numId="7" w16cid:durableId="162471705">
    <w:abstractNumId w:val="6"/>
  </w:num>
  <w:num w:numId="8" w16cid:durableId="430051399">
    <w:abstractNumId w:val="3"/>
  </w:num>
  <w:num w:numId="9" w16cid:durableId="2089376537">
    <w:abstractNumId w:val="2"/>
  </w:num>
  <w:num w:numId="10" w16cid:durableId="349338947">
    <w:abstractNumId w:val="1"/>
  </w:num>
  <w:num w:numId="11" w16cid:durableId="674914731">
    <w:abstractNumId w:val="11"/>
  </w:num>
  <w:num w:numId="12" w16cid:durableId="2067219469">
    <w:abstractNumId w:val="12"/>
  </w:num>
  <w:num w:numId="13" w16cid:durableId="1058210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40"/>
    <w:rsid w:val="0000219E"/>
    <w:rsid w:val="00002532"/>
    <w:rsid w:val="00053B27"/>
    <w:rsid w:val="000E3A3F"/>
    <w:rsid w:val="000E3AFC"/>
    <w:rsid w:val="000F3D9D"/>
    <w:rsid w:val="00121D30"/>
    <w:rsid w:val="00152C1F"/>
    <w:rsid w:val="00155D04"/>
    <w:rsid w:val="00173BFB"/>
    <w:rsid w:val="001A0121"/>
    <w:rsid w:val="001A3681"/>
    <w:rsid w:val="00205479"/>
    <w:rsid w:val="0021616F"/>
    <w:rsid w:val="00223812"/>
    <w:rsid w:val="00224330"/>
    <w:rsid w:val="002811B6"/>
    <w:rsid w:val="002824A1"/>
    <w:rsid w:val="00292187"/>
    <w:rsid w:val="00292FED"/>
    <w:rsid w:val="002A719F"/>
    <w:rsid w:val="002C133B"/>
    <w:rsid w:val="002C31C0"/>
    <w:rsid w:val="002D48B4"/>
    <w:rsid w:val="002F57C4"/>
    <w:rsid w:val="00304E72"/>
    <w:rsid w:val="00313277"/>
    <w:rsid w:val="0031763E"/>
    <w:rsid w:val="00322ED6"/>
    <w:rsid w:val="00324F3B"/>
    <w:rsid w:val="00342850"/>
    <w:rsid w:val="003728E1"/>
    <w:rsid w:val="00395418"/>
    <w:rsid w:val="003C3DBF"/>
    <w:rsid w:val="003D6511"/>
    <w:rsid w:val="003E5538"/>
    <w:rsid w:val="003F6F58"/>
    <w:rsid w:val="00423C0B"/>
    <w:rsid w:val="00481645"/>
    <w:rsid w:val="00507104"/>
    <w:rsid w:val="005075D1"/>
    <w:rsid w:val="0051686C"/>
    <w:rsid w:val="00523699"/>
    <w:rsid w:val="0053170E"/>
    <w:rsid w:val="00585B04"/>
    <w:rsid w:val="005D2915"/>
    <w:rsid w:val="005F7164"/>
    <w:rsid w:val="00645CC7"/>
    <w:rsid w:val="00670333"/>
    <w:rsid w:val="00674FB5"/>
    <w:rsid w:val="00687DC2"/>
    <w:rsid w:val="006C6062"/>
    <w:rsid w:val="006E25D1"/>
    <w:rsid w:val="006E618B"/>
    <w:rsid w:val="00720797"/>
    <w:rsid w:val="007279DA"/>
    <w:rsid w:val="00796197"/>
    <w:rsid w:val="007E464C"/>
    <w:rsid w:val="007F4E97"/>
    <w:rsid w:val="00802BD3"/>
    <w:rsid w:val="00834758"/>
    <w:rsid w:val="00882860"/>
    <w:rsid w:val="00887040"/>
    <w:rsid w:val="00893A93"/>
    <w:rsid w:val="008A6BA5"/>
    <w:rsid w:val="008B6EC0"/>
    <w:rsid w:val="008D4264"/>
    <w:rsid w:val="009210E7"/>
    <w:rsid w:val="00925320"/>
    <w:rsid w:val="00935919"/>
    <w:rsid w:val="00961D8B"/>
    <w:rsid w:val="00987CAB"/>
    <w:rsid w:val="009975B2"/>
    <w:rsid w:val="009A1247"/>
    <w:rsid w:val="009E794B"/>
    <w:rsid w:val="00A1228F"/>
    <w:rsid w:val="00A15D3D"/>
    <w:rsid w:val="00A27E74"/>
    <w:rsid w:val="00A3605E"/>
    <w:rsid w:val="00A65FD0"/>
    <w:rsid w:val="00A713A1"/>
    <w:rsid w:val="00A93C31"/>
    <w:rsid w:val="00A94D1F"/>
    <w:rsid w:val="00AD2C10"/>
    <w:rsid w:val="00AE3C8F"/>
    <w:rsid w:val="00AF4852"/>
    <w:rsid w:val="00B54050"/>
    <w:rsid w:val="00B71356"/>
    <w:rsid w:val="00B840EE"/>
    <w:rsid w:val="00B90193"/>
    <w:rsid w:val="00C02D0C"/>
    <w:rsid w:val="00C035C6"/>
    <w:rsid w:val="00C34A9B"/>
    <w:rsid w:val="00C4121E"/>
    <w:rsid w:val="00C423AD"/>
    <w:rsid w:val="00C6622A"/>
    <w:rsid w:val="00C74037"/>
    <w:rsid w:val="00C8734A"/>
    <w:rsid w:val="00CB665B"/>
    <w:rsid w:val="00CD2C58"/>
    <w:rsid w:val="00CF2AD6"/>
    <w:rsid w:val="00CF38A6"/>
    <w:rsid w:val="00D032CD"/>
    <w:rsid w:val="00D12A9A"/>
    <w:rsid w:val="00D37E9D"/>
    <w:rsid w:val="00D40672"/>
    <w:rsid w:val="00D5268A"/>
    <w:rsid w:val="00DA08F7"/>
    <w:rsid w:val="00DB23FC"/>
    <w:rsid w:val="00DD601A"/>
    <w:rsid w:val="00E220BF"/>
    <w:rsid w:val="00E33BE9"/>
    <w:rsid w:val="00E70367"/>
    <w:rsid w:val="00E73E99"/>
    <w:rsid w:val="00E779A1"/>
    <w:rsid w:val="00E81E92"/>
    <w:rsid w:val="00EB4F00"/>
    <w:rsid w:val="00EC756A"/>
    <w:rsid w:val="00EE56B1"/>
    <w:rsid w:val="00F010CD"/>
    <w:rsid w:val="00F03E7A"/>
    <w:rsid w:val="00F067D2"/>
    <w:rsid w:val="00F31208"/>
    <w:rsid w:val="00F52153"/>
    <w:rsid w:val="00FC7066"/>
    <w:rsid w:val="00FE2A53"/>
    <w:rsid w:val="00FE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04CD8"/>
  <w15:docId w15:val="{05544FC8-D93B-40ED-B4EC-FF0F5D2A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8F"/>
    <w:pPr>
      <w:jc w:val="both"/>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link w:val="BalloonText"/>
    <w:uiPriority w:val="99"/>
    <w:semiHidden/>
    <w:rsid w:val="00304E72"/>
    <w:rPr>
      <w:rFonts w:ascii="Tahoma" w:eastAsia="Andale Sans UI" w:hAnsi="Tahoma" w:cs="Tahoma"/>
      <w:sz w:val="16"/>
      <w:szCs w:val="16"/>
      <w:lang w:eastAsia="en-US" w:bidi="en-US"/>
    </w:rPr>
  </w:style>
  <w:style w:type="paragraph" w:customStyle="1" w:styleId="paragraph">
    <w:name w:val="paragraph"/>
    <w:basedOn w:val="Normal"/>
    <w:rsid w:val="00173BFB"/>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DefaultParagraphFont"/>
    <w:rsid w:val="00173BFB"/>
  </w:style>
  <w:style w:type="character" w:customStyle="1" w:styleId="eop">
    <w:name w:val="eop"/>
    <w:basedOn w:val="DefaultParagraphFont"/>
    <w:rsid w:val="00173BFB"/>
  </w:style>
  <w:style w:type="paragraph" w:styleId="EndnoteText">
    <w:name w:val="endnote text"/>
    <w:basedOn w:val="Normal"/>
    <w:link w:val="EndnoteTextChar"/>
    <w:uiPriority w:val="99"/>
    <w:semiHidden/>
    <w:unhideWhenUsed/>
    <w:rsid w:val="00FE6A6A"/>
    <w:rPr>
      <w:sz w:val="20"/>
      <w:szCs w:val="20"/>
    </w:rPr>
  </w:style>
  <w:style w:type="character" w:customStyle="1" w:styleId="EndnoteTextChar">
    <w:name w:val="Endnote Text Char"/>
    <w:basedOn w:val="DefaultParagraphFont"/>
    <w:link w:val="EndnoteText"/>
    <w:uiPriority w:val="99"/>
    <w:semiHidden/>
    <w:rsid w:val="00FE6A6A"/>
    <w:rPr>
      <w:rFonts w:eastAsia="Andale Sans UI" w:cs="Tahoma"/>
      <w:lang w:eastAsia="en-US" w:bidi="en-US"/>
    </w:rPr>
  </w:style>
  <w:style w:type="character" w:styleId="EndnoteReference">
    <w:name w:val="endnote reference"/>
    <w:basedOn w:val="DefaultParagraphFont"/>
    <w:uiPriority w:val="99"/>
    <w:semiHidden/>
    <w:unhideWhenUsed/>
    <w:rsid w:val="00FE6A6A"/>
    <w:rPr>
      <w:vertAlign w:val="superscript"/>
    </w:rPr>
  </w:style>
  <w:style w:type="character" w:styleId="UnresolvedMention">
    <w:name w:val="Unresolved Mention"/>
    <w:basedOn w:val="DefaultParagraphFont"/>
    <w:uiPriority w:val="99"/>
    <w:semiHidden/>
    <w:unhideWhenUsed/>
    <w:rsid w:val="00CB665B"/>
    <w:rPr>
      <w:color w:val="605E5C"/>
      <w:shd w:val="clear" w:color="auto" w:fill="E1DFDD"/>
    </w:rPr>
  </w:style>
  <w:style w:type="paragraph" w:styleId="ListParagraph">
    <w:name w:val="List Paragraph"/>
    <w:basedOn w:val="Normal"/>
    <w:uiPriority w:val="34"/>
    <w:qFormat/>
    <w:rsid w:val="00D37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3866">
      <w:bodyDiv w:val="1"/>
      <w:marLeft w:val="0"/>
      <w:marRight w:val="0"/>
      <w:marTop w:val="0"/>
      <w:marBottom w:val="0"/>
      <w:divBdr>
        <w:top w:val="none" w:sz="0" w:space="0" w:color="auto"/>
        <w:left w:val="none" w:sz="0" w:space="0" w:color="auto"/>
        <w:bottom w:val="none" w:sz="0" w:space="0" w:color="auto"/>
        <w:right w:val="none" w:sz="0" w:space="0" w:color="auto"/>
      </w:divBdr>
    </w:div>
    <w:div w:id="668483438">
      <w:bodyDiv w:val="1"/>
      <w:marLeft w:val="0"/>
      <w:marRight w:val="0"/>
      <w:marTop w:val="0"/>
      <w:marBottom w:val="0"/>
      <w:divBdr>
        <w:top w:val="none" w:sz="0" w:space="0" w:color="auto"/>
        <w:left w:val="none" w:sz="0" w:space="0" w:color="auto"/>
        <w:bottom w:val="none" w:sz="0" w:space="0" w:color="auto"/>
        <w:right w:val="none" w:sz="0" w:space="0" w:color="auto"/>
      </w:divBdr>
    </w:div>
    <w:div w:id="751119158">
      <w:bodyDiv w:val="1"/>
      <w:marLeft w:val="0"/>
      <w:marRight w:val="0"/>
      <w:marTop w:val="0"/>
      <w:marBottom w:val="0"/>
      <w:divBdr>
        <w:top w:val="none" w:sz="0" w:space="0" w:color="auto"/>
        <w:left w:val="none" w:sz="0" w:space="0" w:color="auto"/>
        <w:bottom w:val="none" w:sz="0" w:space="0" w:color="auto"/>
        <w:right w:val="none" w:sz="0" w:space="0" w:color="auto"/>
      </w:divBdr>
    </w:div>
    <w:div w:id="1260867198">
      <w:bodyDiv w:val="1"/>
      <w:marLeft w:val="0"/>
      <w:marRight w:val="0"/>
      <w:marTop w:val="0"/>
      <w:marBottom w:val="0"/>
      <w:divBdr>
        <w:top w:val="none" w:sz="0" w:space="0" w:color="auto"/>
        <w:left w:val="none" w:sz="0" w:space="0" w:color="auto"/>
        <w:bottom w:val="none" w:sz="0" w:space="0" w:color="auto"/>
        <w:right w:val="none" w:sz="0" w:space="0" w:color="auto"/>
      </w:divBdr>
    </w:div>
    <w:div w:id="1467817740">
      <w:bodyDiv w:val="1"/>
      <w:marLeft w:val="0"/>
      <w:marRight w:val="0"/>
      <w:marTop w:val="0"/>
      <w:marBottom w:val="0"/>
      <w:divBdr>
        <w:top w:val="none" w:sz="0" w:space="0" w:color="auto"/>
        <w:left w:val="none" w:sz="0" w:space="0" w:color="auto"/>
        <w:bottom w:val="none" w:sz="0" w:space="0" w:color="auto"/>
        <w:right w:val="none" w:sz="0" w:space="0" w:color="auto"/>
      </w:divBdr>
    </w:div>
    <w:div w:id="154220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seimas.lrs.lt/portal/legalAct/lt/TAD/b9a7f222a0aa11ee8172b53a675305ab?jfwid=-grpv90wlc" TargetMode="External"/><Relationship Id="rId1" Type="http://schemas.openxmlformats.org/officeDocument/2006/relationships/hyperlink" Target="https://e-seimas.lrs.lt/portal/legalAct/lt/TAP/465610309a8411eea70ce7cabd08f1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markauskiene\Downloads\AM%20siun&#269;iamas_1_adresa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E46A-47F7-4441-9073-E31C487A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 siunčiamas_1_adresatas</Template>
  <TotalTime>1</TotalTime>
  <Pages>3</Pages>
  <Words>1388</Words>
  <Characters>7915</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Markauskienė</dc:creator>
  <cp:lastModifiedBy>Rūta Markauskienė</cp:lastModifiedBy>
  <cp:revision>3</cp:revision>
  <dcterms:created xsi:type="dcterms:W3CDTF">2024-02-06T07:16:00Z</dcterms:created>
  <dcterms:modified xsi:type="dcterms:W3CDTF">2024-02-06T07:18:00Z</dcterms:modified>
</cp:coreProperties>
</file>