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2BB4" w14:textId="04C1BD9B" w:rsidR="005900EE" w:rsidRPr="00B60FE6" w:rsidRDefault="009C48E7" w:rsidP="009C48E7">
      <w:pPr>
        <w:jc w:val="center"/>
        <w:rPr>
          <w:rFonts w:ascii="Times New Roman" w:hAnsi="Times New Roman" w:cs="Times New Roman"/>
          <w:b/>
          <w:bCs/>
          <w:sz w:val="24"/>
          <w:szCs w:val="24"/>
        </w:rPr>
      </w:pPr>
      <w:r w:rsidRPr="00B60FE6">
        <w:rPr>
          <w:rFonts w:ascii="Times New Roman" w:hAnsi="Times New Roman" w:cs="Times New Roman"/>
          <w:b/>
          <w:bCs/>
          <w:sz w:val="24"/>
          <w:szCs w:val="24"/>
        </w:rPr>
        <w:t>PATEIKTŲ PASIŪLYMŲ ĮGYVENDINIMAS</w:t>
      </w:r>
    </w:p>
    <w:tbl>
      <w:tblPr>
        <w:tblStyle w:val="TableGrid"/>
        <w:tblW w:w="15021" w:type="dxa"/>
        <w:tblLook w:val="04A0" w:firstRow="1" w:lastRow="0" w:firstColumn="1" w:lastColumn="0" w:noHBand="0" w:noVBand="1"/>
      </w:tblPr>
      <w:tblGrid>
        <w:gridCol w:w="4673"/>
        <w:gridCol w:w="3402"/>
        <w:gridCol w:w="5103"/>
        <w:gridCol w:w="1843"/>
      </w:tblGrid>
      <w:tr w:rsidR="009C48E7" w14:paraId="419A2A16" w14:textId="77777777" w:rsidTr="00584AAF">
        <w:tc>
          <w:tcPr>
            <w:tcW w:w="4673" w:type="dxa"/>
          </w:tcPr>
          <w:p w14:paraId="7CC9AD76" w14:textId="41C39337" w:rsidR="009C48E7" w:rsidRPr="009C48E7" w:rsidRDefault="009C48E7" w:rsidP="009C48E7">
            <w:pPr>
              <w:jc w:val="center"/>
              <w:rPr>
                <w:rFonts w:ascii="Times New Roman" w:hAnsi="Times New Roman" w:cs="Times New Roman"/>
                <w:i/>
                <w:iCs/>
                <w:lang w:val="lt-LT"/>
              </w:rPr>
            </w:pPr>
            <w:r w:rsidRPr="009C48E7">
              <w:rPr>
                <w:rFonts w:ascii="Times New Roman" w:hAnsi="Times New Roman" w:cs="Times New Roman"/>
                <w:i/>
                <w:iCs/>
                <w:lang w:val="lt-LT"/>
              </w:rPr>
              <w:t>Pateiktos pastabos</w:t>
            </w:r>
          </w:p>
        </w:tc>
        <w:tc>
          <w:tcPr>
            <w:tcW w:w="3402" w:type="dxa"/>
          </w:tcPr>
          <w:p w14:paraId="601074E3" w14:textId="48B0B4CD" w:rsidR="009C48E7" w:rsidRDefault="009C48E7" w:rsidP="009C48E7">
            <w:pPr>
              <w:jc w:val="center"/>
              <w:rPr>
                <w:lang w:val="lt-LT"/>
              </w:rPr>
            </w:pPr>
            <w:r w:rsidRPr="009C48E7">
              <w:rPr>
                <w:rFonts w:ascii="Times New Roman" w:eastAsia="Times New Roman" w:hAnsi="Times New Roman" w:cs="Times New Roman"/>
                <w:i/>
                <w:snapToGrid w:val="0"/>
                <w:kern w:val="0"/>
                <w:sz w:val="24"/>
                <w:szCs w:val="24"/>
                <w:lang w:val="lt-LT" w:eastAsia="lt-LT"/>
                <w14:ligatures w14:val="none"/>
              </w:rPr>
              <w:t>Pasiūlymai atsižvelgiant į pateiktas pastabas</w:t>
            </w:r>
          </w:p>
        </w:tc>
        <w:tc>
          <w:tcPr>
            <w:tcW w:w="5103" w:type="dxa"/>
          </w:tcPr>
          <w:p w14:paraId="72610D64" w14:textId="5E8A7381" w:rsidR="009C48E7" w:rsidRDefault="009C48E7" w:rsidP="009C48E7">
            <w:pPr>
              <w:jc w:val="center"/>
              <w:rPr>
                <w:lang w:val="lt-LT"/>
              </w:rPr>
            </w:pPr>
            <w:r w:rsidRPr="009C48E7">
              <w:rPr>
                <w:rFonts w:ascii="Times New Roman" w:eastAsia="Times New Roman" w:hAnsi="Times New Roman" w:cs="Times New Roman"/>
                <w:i/>
                <w:snapToGrid w:val="0"/>
                <w:kern w:val="0"/>
                <w:sz w:val="24"/>
                <w:szCs w:val="24"/>
                <w:lang w:val="lt-LT" w:eastAsia="lt-LT"/>
                <w14:ligatures w14:val="none"/>
              </w:rPr>
              <w:t>Duomenys apie pastabų ir pasiūlymų įgyvendinimą</w:t>
            </w:r>
          </w:p>
        </w:tc>
        <w:tc>
          <w:tcPr>
            <w:tcW w:w="1843" w:type="dxa"/>
          </w:tcPr>
          <w:p w14:paraId="104BA8DF" w14:textId="758722A0" w:rsidR="009C48E7" w:rsidRDefault="009C48E7" w:rsidP="009C48E7">
            <w:pPr>
              <w:jc w:val="center"/>
              <w:rPr>
                <w:lang w:val="lt-LT"/>
              </w:rPr>
            </w:pPr>
            <w:r w:rsidRPr="009C48E7">
              <w:rPr>
                <w:rFonts w:ascii="Times New Roman" w:eastAsia="Times New Roman" w:hAnsi="Times New Roman" w:cs="Times New Roman"/>
                <w:i/>
                <w:snapToGrid w:val="0"/>
                <w:kern w:val="0"/>
                <w:sz w:val="24"/>
                <w:szCs w:val="24"/>
                <w:lang w:val="lt-LT" w:eastAsia="lt-LT"/>
                <w14:ligatures w14:val="none"/>
              </w:rPr>
              <w:t>Specialiųjų tyrimų tarnybos vertinimas</w:t>
            </w:r>
          </w:p>
        </w:tc>
      </w:tr>
      <w:tr w:rsidR="009C48E7" w:rsidRPr="0072368F" w14:paraId="4677EE3D" w14:textId="77777777" w:rsidTr="009C48E7">
        <w:tc>
          <w:tcPr>
            <w:tcW w:w="15021" w:type="dxa"/>
            <w:gridSpan w:val="4"/>
          </w:tcPr>
          <w:p w14:paraId="38F26776" w14:textId="3111C4EE" w:rsidR="009C48E7" w:rsidRPr="0072368F" w:rsidRDefault="009C48E7" w:rsidP="009C48E7">
            <w:pPr>
              <w:pStyle w:val="ListParagraph"/>
              <w:numPr>
                <w:ilvl w:val="0"/>
                <w:numId w:val="1"/>
              </w:numPr>
              <w:jc w:val="center"/>
              <w:rPr>
                <w:rFonts w:ascii="Times New Roman" w:hAnsi="Times New Roman" w:cs="Times New Roman"/>
                <w:sz w:val="24"/>
                <w:szCs w:val="24"/>
                <w:lang w:val="lt-LT"/>
              </w:rPr>
            </w:pPr>
            <w:r w:rsidRPr="0072368F">
              <w:rPr>
                <w:rFonts w:ascii="Times New Roman" w:hAnsi="Times New Roman" w:cs="Times New Roman"/>
                <w:i/>
                <w:snapToGrid w:val="0"/>
                <w:sz w:val="24"/>
                <w:szCs w:val="24"/>
                <w:lang w:val="lt-LT"/>
              </w:rPr>
              <w:t>Kritinės antikorupcinės pastabos</w:t>
            </w:r>
          </w:p>
        </w:tc>
      </w:tr>
      <w:tr w:rsidR="009C48E7" w:rsidRPr="0072368F" w14:paraId="29B0E3B3" w14:textId="77777777" w:rsidTr="00584AAF">
        <w:tc>
          <w:tcPr>
            <w:tcW w:w="4673" w:type="dxa"/>
          </w:tcPr>
          <w:p w14:paraId="01FB61DF" w14:textId="6ADF972E" w:rsidR="009C48E7" w:rsidRPr="0072368F" w:rsidRDefault="009C48E7" w:rsidP="009372F1">
            <w:pPr>
              <w:jc w:val="both"/>
              <w:rPr>
                <w:rFonts w:ascii="Times New Roman" w:hAnsi="Times New Roman" w:cs="Times New Roman"/>
                <w:lang w:val="lt-LT"/>
              </w:rPr>
            </w:pPr>
            <w:r w:rsidRPr="0072368F">
              <w:rPr>
                <w:rFonts w:ascii="Times New Roman" w:eastAsia="Calibri" w:hAnsi="Times New Roman" w:cs="Times New Roman"/>
                <w:kern w:val="0"/>
                <w:lang w:val="lt-LT"/>
                <w14:ligatures w14:val="none"/>
              </w:rPr>
              <w:t>4.1.1. Tais atvejais, kai statytojas yra savivaldybės administracija, ji statybą leidžiantį dokumentą išduoda pati sau. Statybos įstatymas nenustato kito statybą leidžiantį dokumentą išduodančio subjekto, kai sutampa statytojas ir statybą leidžiantį dokumentą išduodantis subjektas.</w:t>
            </w:r>
            <w:r w:rsidRPr="0072368F">
              <w:rPr>
                <w:rFonts w:ascii="Times New Roman" w:eastAsia="Calibri" w:hAnsi="Times New Roman" w:cs="Times New Roman"/>
                <w:b/>
                <w:kern w:val="0"/>
                <w:lang w:val="lt-LT"/>
                <w14:ligatures w14:val="none"/>
              </w:rPr>
              <w:t xml:space="preserve"> </w:t>
            </w:r>
            <w:r w:rsidRPr="0072368F">
              <w:rPr>
                <w:rFonts w:ascii="Times New Roman" w:eastAsia="Calibri" w:hAnsi="Times New Roman" w:cs="Times New Roman"/>
                <w:kern w:val="0"/>
                <w:lang w:val="lt-LT"/>
                <w14:ligatures w14:val="none"/>
              </w:rPr>
              <w:t>Tokiais atvejais galimos korupcijos rizikos paviršutiniškai vertinant pateiktus dokumentus, galimos korupcijos rizikos dėl įvairių neteisėtų prašymų paspartinti statybą leidžiančių dokumentų išdavimą, nefiksuoti įvairių trūkumų ir pan. (motyvai išdėstyti 3.1 poskyryje).</w:t>
            </w:r>
          </w:p>
        </w:tc>
        <w:tc>
          <w:tcPr>
            <w:tcW w:w="3402" w:type="dxa"/>
          </w:tcPr>
          <w:p w14:paraId="41D1D95F" w14:textId="327FE581" w:rsidR="0099509A" w:rsidRPr="0072368F" w:rsidRDefault="0099509A" w:rsidP="002A7BFD">
            <w:pPr>
              <w:tabs>
                <w:tab w:val="left" w:pos="1560"/>
              </w:tabs>
              <w:contextualSpacing/>
              <w:jc w:val="both"/>
              <w:rPr>
                <w:rFonts w:ascii="Times New Roman" w:eastAsia="Times New Roman" w:hAnsi="Times New Roman" w:cs="Times New Roman"/>
                <w:lang w:val="lt-LT"/>
              </w:rPr>
            </w:pPr>
            <w:r w:rsidRPr="0072368F">
              <w:rPr>
                <w:rFonts w:ascii="Times New Roman" w:eastAsia="Times New Roman" w:hAnsi="Times New Roman" w:cs="Times New Roman"/>
                <w:lang w:val="lt-LT"/>
              </w:rPr>
              <w:t xml:space="preserve">5.1.1.Aplinkos ministerijai spręsti dėl teisinio reglamentavimo tobulinimo, siekiant, kad savivaldybių administracijos neišduotų statybą leidžiančių dokumentų pačios sau, pavyzdžiui, nustatyti, kad šiais atvejais statybą leidžiantį dokumentą </w:t>
            </w:r>
            <w:r w:rsidR="000C5041" w:rsidRPr="0072368F">
              <w:rPr>
                <w:rFonts w:ascii="Times New Roman" w:eastAsia="Times New Roman" w:hAnsi="Times New Roman" w:cs="Times New Roman"/>
                <w:lang w:val="lt-LT"/>
              </w:rPr>
              <w:t xml:space="preserve">išduoda </w:t>
            </w:r>
            <w:r w:rsidRPr="0072368F">
              <w:rPr>
                <w:rFonts w:ascii="Times New Roman" w:eastAsia="Times New Roman" w:hAnsi="Times New Roman" w:cs="Times New Roman"/>
                <w:lang w:val="lt-LT"/>
              </w:rPr>
              <w:t>kitos savivaldybės administracija teisės aktų nustatyta tvarka.</w:t>
            </w:r>
          </w:p>
          <w:p w14:paraId="23E654F9" w14:textId="77777777" w:rsidR="009C48E7" w:rsidRPr="0072368F" w:rsidRDefault="009C48E7" w:rsidP="002A7BFD">
            <w:pPr>
              <w:jc w:val="both"/>
              <w:rPr>
                <w:rFonts w:ascii="Times New Roman" w:hAnsi="Times New Roman" w:cs="Times New Roman"/>
                <w:lang w:val="lt-LT"/>
              </w:rPr>
            </w:pPr>
          </w:p>
        </w:tc>
        <w:tc>
          <w:tcPr>
            <w:tcW w:w="5103" w:type="dxa"/>
          </w:tcPr>
          <w:p w14:paraId="51F1470F" w14:textId="43064237" w:rsidR="008C4D58" w:rsidRPr="0072368F" w:rsidRDefault="00AB7907" w:rsidP="002A7BFD">
            <w:pPr>
              <w:widowControl w:val="0"/>
              <w:jc w:val="both"/>
              <w:rPr>
                <w:rFonts w:ascii="Times New Roman" w:eastAsia="Times New Roman" w:hAnsi="Times New Roman" w:cs="Times New Roman"/>
                <w:kern w:val="0"/>
                <w:lang w:val="lt-LT" w:eastAsia="en-GB"/>
                <w14:ligatures w14:val="none"/>
              </w:rPr>
            </w:pPr>
            <w:r w:rsidRPr="0072368F">
              <w:rPr>
                <w:rFonts w:ascii="Times New Roman" w:hAnsi="Times New Roman" w:cs="Times New Roman"/>
                <w:lang w:val="lt-LT"/>
              </w:rPr>
              <w:t>Vadovaujantis Lietuvos Respublikos vietos savivaldos įstatymo nuostatomis ir savivaldybėms suteiktais įgaliojimais, Aplinkos ministerija nepritaria šiam siūlymui. S</w:t>
            </w:r>
            <w:r w:rsidR="008C4D58" w:rsidRPr="0072368F">
              <w:rPr>
                <w:rFonts w:ascii="Times New Roman" w:eastAsia="Times New Roman" w:hAnsi="Times New Roman" w:cs="Times New Roman"/>
                <w:snapToGrid w:val="0"/>
                <w:kern w:val="0"/>
                <w:lang w:val="lt-LT" w:eastAsia="lt-LT"/>
                <w14:ligatures w14:val="none"/>
              </w:rPr>
              <w:t xml:space="preserve">istemiškai vertinant </w:t>
            </w:r>
            <w:r w:rsidRPr="0072368F">
              <w:rPr>
                <w:rFonts w:ascii="Times New Roman" w:eastAsia="Times New Roman" w:hAnsi="Times New Roman" w:cs="Times New Roman"/>
                <w:snapToGrid w:val="0"/>
                <w:kern w:val="0"/>
                <w:lang w:val="lt-LT" w:eastAsia="lt-LT"/>
                <w14:ligatures w14:val="none"/>
              </w:rPr>
              <w:t xml:space="preserve">minėtų  teisės aktų nuostatas, </w:t>
            </w:r>
            <w:r w:rsidR="008C4D58" w:rsidRPr="0072368F">
              <w:rPr>
                <w:rFonts w:ascii="Times New Roman" w:eastAsia="Times New Roman" w:hAnsi="Times New Roman" w:cs="Times New Roman"/>
                <w:snapToGrid w:val="0"/>
                <w:kern w:val="0"/>
                <w:lang w:val="lt-LT" w:eastAsia="lt-LT"/>
                <w14:ligatures w14:val="none"/>
              </w:rPr>
              <w:t>tai nebūtų tinkamas sprendinys. Į</w:t>
            </w:r>
            <w:r w:rsidR="008C4D58" w:rsidRPr="0072368F">
              <w:rPr>
                <w:rFonts w:ascii="Times New Roman" w:eastAsia="Times New Roman" w:hAnsi="Times New Roman" w:cs="Times New Roman"/>
                <w:kern w:val="0"/>
                <w:lang w:val="lt-LT" w:eastAsia="lt-LT"/>
                <w14:ligatures w14:val="none"/>
              </w:rPr>
              <w:t>vertinsime galimybę planine tvarka atlikti tokių SLD teisėtumo tikrinimo galimybes.</w:t>
            </w:r>
          </w:p>
          <w:p w14:paraId="56568756" w14:textId="669B3416" w:rsidR="009C48E7" w:rsidRPr="0072368F" w:rsidRDefault="000C5041" w:rsidP="000C5041">
            <w:pPr>
              <w:jc w:val="both"/>
              <w:rPr>
                <w:rFonts w:ascii="Times New Roman" w:hAnsi="Times New Roman" w:cs="Times New Roman"/>
                <w:lang w:val="lt-LT"/>
              </w:rPr>
            </w:pPr>
            <w:r w:rsidRPr="0072368F">
              <w:rPr>
                <w:rFonts w:ascii="Times New Roman" w:hAnsi="Times New Roman" w:cs="Times New Roman"/>
                <w:lang w:val="lt-LT"/>
              </w:rPr>
              <w:t xml:space="preserve">Atkreipiame dėmesį, kad pagal </w:t>
            </w:r>
            <w:r w:rsidR="00AB7907" w:rsidRPr="0072368F">
              <w:rPr>
                <w:rFonts w:ascii="Times New Roman" w:hAnsi="Times New Roman" w:cs="Times New Roman"/>
                <w:lang w:val="lt-LT"/>
              </w:rPr>
              <w:t>Lietuvos Respublikos t</w:t>
            </w:r>
            <w:r w:rsidRPr="0072368F">
              <w:rPr>
                <w:rFonts w:ascii="Times New Roman" w:hAnsi="Times New Roman" w:cs="Times New Roman"/>
                <w:color w:val="000000"/>
                <w:lang w:val="lt-LT" w:eastAsia="lt-LT"/>
              </w:rPr>
              <w:t>eritorijų planavimo ir statybos valstybinės priežiūros įstatymo 8 str. nuostata</w:t>
            </w:r>
            <w:r w:rsidR="00AB7907" w:rsidRPr="0072368F">
              <w:rPr>
                <w:rFonts w:ascii="Times New Roman" w:hAnsi="Times New Roman" w:cs="Times New Roman"/>
                <w:color w:val="000000"/>
                <w:lang w:val="lt-LT" w:eastAsia="lt-LT"/>
              </w:rPr>
              <w:t>s</w:t>
            </w:r>
            <w:r w:rsidRPr="0072368F">
              <w:rPr>
                <w:rFonts w:ascii="Times New Roman" w:hAnsi="Times New Roman" w:cs="Times New Roman"/>
                <w:color w:val="000000"/>
                <w:lang w:val="lt-LT" w:eastAsia="lt-LT"/>
              </w:rPr>
              <w:t xml:space="preserve"> </w:t>
            </w:r>
            <w:r w:rsidRPr="0072368F">
              <w:rPr>
                <w:rFonts w:ascii="Times New Roman" w:hAnsi="Times New Roman" w:cs="Times New Roman"/>
                <w:lang w:val="lt-LT"/>
              </w:rPr>
              <w:t>statybos valstybinę priežiūrą</w:t>
            </w:r>
            <w:r w:rsidR="00AB7907" w:rsidRPr="0072368F">
              <w:rPr>
                <w:rFonts w:ascii="Times New Roman" w:hAnsi="Times New Roman" w:cs="Times New Roman"/>
                <w:lang w:val="lt-LT"/>
              </w:rPr>
              <w:t xml:space="preserve"> atlieka ir </w:t>
            </w:r>
            <w:r w:rsidRPr="0072368F">
              <w:rPr>
                <w:rFonts w:ascii="Times New Roman" w:hAnsi="Times New Roman" w:cs="Times New Roman"/>
                <w:lang w:val="lt-LT"/>
              </w:rPr>
              <w:t xml:space="preserve"> jos metu tikrina SLD teisėtumą</w:t>
            </w:r>
            <w:r w:rsidR="00AB7907" w:rsidRPr="0072368F">
              <w:rPr>
                <w:rFonts w:ascii="Times New Roman" w:hAnsi="Times New Roman" w:cs="Times New Roman"/>
                <w:lang w:val="lt-LT"/>
              </w:rPr>
              <w:t>, Valstybinė teritorijų planavimo ir statybos inspekcija.</w:t>
            </w:r>
          </w:p>
        </w:tc>
        <w:tc>
          <w:tcPr>
            <w:tcW w:w="1843" w:type="dxa"/>
          </w:tcPr>
          <w:p w14:paraId="5092C588" w14:textId="6EE58E9F" w:rsidR="009C48E7" w:rsidRPr="0072368F" w:rsidRDefault="000C5041" w:rsidP="002A7BFD">
            <w:pPr>
              <w:jc w:val="both"/>
              <w:rPr>
                <w:rFonts w:ascii="Times New Roman" w:hAnsi="Times New Roman" w:cs="Times New Roman"/>
                <w:lang w:val="lt-LT"/>
              </w:rPr>
            </w:pPr>
            <w:r w:rsidRPr="0072368F">
              <w:rPr>
                <w:rFonts w:ascii="Times New Roman" w:hAnsi="Times New Roman" w:cs="Times New Roman"/>
                <w:lang w:val="lt-LT"/>
              </w:rPr>
              <w:t xml:space="preserve"> </w:t>
            </w:r>
          </w:p>
        </w:tc>
      </w:tr>
      <w:tr w:rsidR="0099509A" w:rsidRPr="0072368F" w14:paraId="0D436A8A" w14:textId="77777777" w:rsidTr="00584AAF">
        <w:tc>
          <w:tcPr>
            <w:tcW w:w="4673" w:type="dxa"/>
          </w:tcPr>
          <w:p w14:paraId="4369607D" w14:textId="77777777" w:rsidR="0099509A" w:rsidRPr="0072368F" w:rsidRDefault="0099509A" w:rsidP="002A7BFD">
            <w:pPr>
              <w:jc w:val="both"/>
              <w:rPr>
                <w:rFonts w:ascii="Times New Roman" w:eastAsia="Calibri" w:hAnsi="Times New Roman" w:cs="Times New Roman"/>
                <w:kern w:val="0"/>
                <w:lang w:val="lt-LT"/>
                <w14:ligatures w14:val="none"/>
              </w:rPr>
            </w:pPr>
            <w:r w:rsidRPr="0072368F">
              <w:rPr>
                <w:rFonts w:ascii="Times New Roman" w:eastAsia="Calibri" w:hAnsi="Times New Roman" w:cs="Times New Roman"/>
                <w:kern w:val="0"/>
                <w:lang w:val="lt-LT"/>
                <w14:ligatures w14:val="none"/>
              </w:rPr>
              <w:t>4.2.2. IS „</w:t>
            </w:r>
            <w:proofErr w:type="spellStart"/>
            <w:r w:rsidRPr="0072368F">
              <w:rPr>
                <w:rFonts w:ascii="Times New Roman" w:eastAsia="Calibri" w:hAnsi="Times New Roman" w:cs="Times New Roman"/>
                <w:kern w:val="0"/>
                <w:lang w:val="lt-LT"/>
                <w14:ligatures w14:val="none"/>
              </w:rPr>
              <w:t>Infostatyba</w:t>
            </w:r>
            <w:proofErr w:type="spellEnd"/>
            <w:r w:rsidRPr="0072368F">
              <w:rPr>
                <w:rFonts w:ascii="Times New Roman" w:eastAsia="Calibri" w:hAnsi="Times New Roman" w:cs="Times New Roman"/>
                <w:kern w:val="0"/>
                <w:lang w:val="lt-LT"/>
                <w14:ligatures w14:val="none"/>
              </w:rPr>
              <w:t xml:space="preserve">“ „automatiniai pritarimai“ neužtikrina veiksmų atsekamumo, projektai, kuriems išduoti statybą leidžiantys dokumentai, gali būti neįvertinti (motyvai išdėstyti </w:t>
            </w:r>
            <w:r w:rsidRPr="0072368F">
              <w:rPr>
                <w:rFonts w:ascii="Times New Roman" w:eastAsia="Times New Roman" w:hAnsi="Times New Roman" w:cs="Times New Roman"/>
                <w:color w:val="333333"/>
                <w:kern w:val="0"/>
                <w:lang w:val="lt-LT" w:eastAsia="lt-LT"/>
                <w14:ligatures w14:val="none"/>
              </w:rPr>
              <w:br/>
            </w:r>
            <w:r w:rsidRPr="0072368F">
              <w:rPr>
                <w:rFonts w:ascii="Times New Roman" w:eastAsia="Calibri" w:hAnsi="Times New Roman" w:cs="Times New Roman"/>
                <w:kern w:val="0"/>
                <w:lang w:val="lt-LT"/>
                <w14:ligatures w14:val="none"/>
              </w:rPr>
              <w:t>3.4 poskyryje).</w:t>
            </w:r>
          </w:p>
          <w:p w14:paraId="785C8C8B" w14:textId="77777777" w:rsidR="0099509A" w:rsidRPr="0072368F" w:rsidRDefault="0099509A" w:rsidP="002A7BFD">
            <w:pPr>
              <w:ind w:firstLine="851"/>
              <w:jc w:val="both"/>
              <w:rPr>
                <w:rFonts w:ascii="Times New Roman" w:eastAsia="Calibri" w:hAnsi="Times New Roman" w:cs="Times New Roman"/>
                <w:kern w:val="0"/>
                <w:lang w:val="lt-LT"/>
                <w14:ligatures w14:val="none"/>
              </w:rPr>
            </w:pPr>
          </w:p>
        </w:tc>
        <w:tc>
          <w:tcPr>
            <w:tcW w:w="3402" w:type="dxa"/>
          </w:tcPr>
          <w:p w14:paraId="5AD12D45" w14:textId="51EE4B2B" w:rsidR="0099509A" w:rsidRPr="0072368F" w:rsidRDefault="0099509A" w:rsidP="002A7BFD">
            <w:pPr>
              <w:tabs>
                <w:tab w:val="left" w:pos="1560"/>
              </w:tabs>
              <w:contextualSpacing/>
              <w:jc w:val="both"/>
              <w:rPr>
                <w:rFonts w:ascii="Times New Roman" w:eastAsia="Times New Roman" w:hAnsi="Times New Roman" w:cs="Times New Roman"/>
                <w:lang w:val="lt-LT"/>
              </w:rPr>
            </w:pPr>
            <w:r w:rsidRPr="0072368F">
              <w:rPr>
                <w:rFonts w:ascii="Times New Roman" w:eastAsia="Times New Roman" w:hAnsi="Times New Roman" w:cs="Times New Roman"/>
                <w:lang w:val="lt-LT"/>
              </w:rPr>
              <w:t>5.2.2. Aplinkos ministerijai atsisakyti „automatinių pritarimų“ formavimo funkcijos ir spręsti dėl kitų priemonių, kurios užtikrintų, kad pateikti projektai bus įvertinti teisės aktų nustatytais pagrindais, numatyti pritarimų projektams galiojimo terminus.</w:t>
            </w:r>
          </w:p>
          <w:p w14:paraId="1188BA24" w14:textId="77777777" w:rsidR="0099509A" w:rsidRPr="0072368F" w:rsidRDefault="0099509A" w:rsidP="002A7BFD">
            <w:pPr>
              <w:tabs>
                <w:tab w:val="left" w:pos="1560"/>
              </w:tabs>
              <w:contextualSpacing/>
              <w:jc w:val="both"/>
              <w:rPr>
                <w:rFonts w:ascii="Times New Roman" w:eastAsia="Times New Roman" w:hAnsi="Times New Roman" w:cs="Times New Roman"/>
                <w:lang w:val="lt-LT"/>
              </w:rPr>
            </w:pPr>
          </w:p>
        </w:tc>
        <w:tc>
          <w:tcPr>
            <w:tcW w:w="5103" w:type="dxa"/>
          </w:tcPr>
          <w:p w14:paraId="41A77CC9" w14:textId="66CFA547" w:rsidR="0099509A" w:rsidRPr="0072368F" w:rsidRDefault="001C340D" w:rsidP="00431609">
            <w:pPr>
              <w:jc w:val="both"/>
              <w:rPr>
                <w:rFonts w:ascii="Times New Roman" w:hAnsi="Times New Roman" w:cs="Times New Roman"/>
                <w:lang w:val="lt-LT"/>
              </w:rPr>
            </w:pPr>
            <w:r w:rsidRPr="0072368F">
              <w:rPr>
                <w:rFonts w:ascii="Times New Roman" w:hAnsi="Times New Roman" w:cs="Times New Roman"/>
                <w:spacing w:val="2"/>
                <w:shd w:val="clear" w:color="auto" w:fill="FFFFFF"/>
                <w:lang w:val="lt-LT"/>
              </w:rPr>
              <w:t xml:space="preserve">Aplinkos ministerija pritaria pastabai ir </w:t>
            </w:r>
            <w:r w:rsidR="00AB7907" w:rsidRPr="0072368F">
              <w:rPr>
                <w:rFonts w:ascii="Times New Roman" w:hAnsi="Times New Roman" w:cs="Times New Roman"/>
                <w:spacing w:val="2"/>
                <w:shd w:val="clear" w:color="auto" w:fill="FFFFFF"/>
                <w:lang w:val="lt-LT"/>
              </w:rPr>
              <w:t xml:space="preserve"> informuoja, kad </w:t>
            </w:r>
            <w:r w:rsidRPr="0072368F">
              <w:rPr>
                <w:rFonts w:ascii="Times New Roman" w:hAnsi="Times New Roman" w:cs="Times New Roman"/>
                <w:spacing w:val="2"/>
                <w:shd w:val="clear" w:color="auto" w:fill="FFFFFF"/>
                <w:lang w:val="lt-LT"/>
              </w:rPr>
              <w:t xml:space="preserve">rengiamas </w:t>
            </w:r>
            <w:r w:rsidR="00AB7907" w:rsidRPr="0072368F">
              <w:rPr>
                <w:rFonts w:ascii="Times New Roman" w:hAnsi="Times New Roman" w:cs="Times New Roman"/>
                <w:spacing w:val="2"/>
                <w:shd w:val="clear" w:color="auto" w:fill="FFFFFF"/>
                <w:lang w:val="lt-LT"/>
              </w:rPr>
              <w:t>s</w:t>
            </w:r>
            <w:r w:rsidR="00431609" w:rsidRPr="0072368F">
              <w:rPr>
                <w:rFonts w:ascii="Times New Roman" w:hAnsi="Times New Roman" w:cs="Times New Roman"/>
                <w:spacing w:val="2"/>
                <w:shd w:val="clear" w:color="auto" w:fill="FFFFFF"/>
                <w:lang w:val="lt-LT"/>
              </w:rPr>
              <w:t>tatybos technini</w:t>
            </w:r>
            <w:r w:rsidR="00AB7907" w:rsidRPr="0072368F">
              <w:rPr>
                <w:rFonts w:ascii="Times New Roman" w:hAnsi="Times New Roman" w:cs="Times New Roman"/>
                <w:spacing w:val="2"/>
                <w:shd w:val="clear" w:color="auto" w:fill="FFFFFF"/>
                <w:lang w:val="lt-LT"/>
              </w:rPr>
              <w:t>o</w:t>
            </w:r>
            <w:r w:rsidR="00431609" w:rsidRPr="0072368F">
              <w:rPr>
                <w:rFonts w:ascii="Times New Roman" w:hAnsi="Times New Roman" w:cs="Times New Roman"/>
                <w:spacing w:val="2"/>
                <w:shd w:val="clear" w:color="auto" w:fill="FFFFFF"/>
                <w:lang w:val="lt-LT"/>
              </w:rPr>
              <w:t xml:space="preserve"> reglament</w:t>
            </w:r>
            <w:r w:rsidR="00AB7907" w:rsidRPr="0072368F">
              <w:rPr>
                <w:rFonts w:ascii="Times New Roman" w:hAnsi="Times New Roman" w:cs="Times New Roman"/>
                <w:spacing w:val="2"/>
                <w:shd w:val="clear" w:color="auto" w:fill="FFFFFF"/>
                <w:lang w:val="lt-LT"/>
              </w:rPr>
              <w:t>o</w:t>
            </w:r>
            <w:r w:rsidR="00431609" w:rsidRPr="0072368F">
              <w:rPr>
                <w:rFonts w:ascii="Times New Roman" w:hAnsi="Times New Roman" w:cs="Times New Roman"/>
                <w:spacing w:val="2"/>
                <w:shd w:val="clear" w:color="auto" w:fill="FFFFFF"/>
                <w:lang w:val="lt-LT"/>
              </w:rPr>
              <w:t xml:space="preserve"> STR 1.05.01:2017 </w:t>
            </w:r>
            <w:hyperlink r:id="rId8" w:history="1">
              <w:r w:rsidR="00431609" w:rsidRPr="0072368F">
                <w:rPr>
                  <w:rStyle w:val="Hyperlink"/>
                  <w:rFonts w:ascii="Times New Roman" w:hAnsi="Times New Roman" w:cs="Times New Roman"/>
                  <w:color w:val="auto"/>
                  <w:spacing w:val="3"/>
                  <w:u w:val="none"/>
                  <w:shd w:val="clear" w:color="auto" w:fill="FFFFFF"/>
                  <w:lang w:val="lt-LT"/>
                </w:rPr>
                <w:t>„Statybą leidžiantys dokumentai. Statybos užbaigimas. Nebaigto statinio registravimas ir perleidimas. Statybos sustabdymas. Savavališkos statybos padarinių šalinimas. Statybos pagal neteisėtai išduotą statybą leidžiantį dokumentą padarinių šalinimas“</w:t>
              </w:r>
            </w:hyperlink>
            <w:r w:rsidRPr="0072368F">
              <w:rPr>
                <w:rStyle w:val="Hyperlink"/>
                <w:rFonts w:ascii="Times New Roman" w:hAnsi="Times New Roman" w:cs="Times New Roman"/>
                <w:color w:val="auto"/>
                <w:spacing w:val="3"/>
                <w:u w:val="none"/>
                <w:shd w:val="clear" w:color="auto" w:fill="FFFFFF"/>
                <w:lang w:val="lt-LT"/>
              </w:rPr>
              <w:t xml:space="preserve"> </w:t>
            </w:r>
            <w:r w:rsidR="00AB7907" w:rsidRPr="0072368F">
              <w:rPr>
                <w:rStyle w:val="Hyperlink"/>
                <w:rFonts w:ascii="Times New Roman" w:hAnsi="Times New Roman" w:cs="Times New Roman"/>
                <w:color w:val="auto"/>
                <w:spacing w:val="3"/>
                <w:u w:val="none"/>
                <w:shd w:val="clear" w:color="auto" w:fill="FFFFFF"/>
                <w:lang w:val="lt-LT"/>
              </w:rPr>
              <w:t xml:space="preserve">pakeitimo </w:t>
            </w:r>
            <w:r w:rsidRPr="0072368F">
              <w:rPr>
                <w:rStyle w:val="Hyperlink"/>
                <w:rFonts w:ascii="Times New Roman" w:hAnsi="Times New Roman" w:cs="Times New Roman"/>
                <w:color w:val="auto"/>
                <w:spacing w:val="3"/>
                <w:u w:val="none"/>
                <w:shd w:val="clear" w:color="auto" w:fill="FFFFFF"/>
                <w:lang w:val="lt-LT"/>
              </w:rPr>
              <w:t>projekt</w:t>
            </w:r>
            <w:r w:rsidR="00AB7907" w:rsidRPr="0072368F">
              <w:rPr>
                <w:rStyle w:val="Hyperlink"/>
                <w:rFonts w:ascii="Times New Roman" w:hAnsi="Times New Roman" w:cs="Times New Roman"/>
                <w:color w:val="auto"/>
                <w:spacing w:val="3"/>
                <w:u w:val="none"/>
                <w:shd w:val="clear" w:color="auto" w:fill="FFFFFF"/>
                <w:lang w:val="lt-LT"/>
              </w:rPr>
              <w:t xml:space="preserve">as. </w:t>
            </w:r>
            <w:r w:rsidRPr="0072368F">
              <w:rPr>
                <w:rStyle w:val="Hyperlink"/>
                <w:rFonts w:ascii="Times New Roman" w:hAnsi="Times New Roman" w:cs="Times New Roman"/>
                <w:color w:val="auto"/>
                <w:spacing w:val="3"/>
                <w:u w:val="none"/>
                <w:shd w:val="clear" w:color="auto" w:fill="FFFFFF"/>
                <w:lang w:val="lt-LT"/>
              </w:rPr>
              <w:t xml:space="preserve"> pakeitimas. Projekt</w:t>
            </w:r>
            <w:r w:rsidR="00AB7907" w:rsidRPr="0072368F">
              <w:rPr>
                <w:rStyle w:val="Hyperlink"/>
                <w:rFonts w:ascii="Times New Roman" w:hAnsi="Times New Roman" w:cs="Times New Roman"/>
                <w:color w:val="auto"/>
                <w:spacing w:val="3"/>
                <w:u w:val="none"/>
                <w:shd w:val="clear" w:color="auto" w:fill="FFFFFF"/>
                <w:lang w:val="lt-LT"/>
              </w:rPr>
              <w:t xml:space="preserve">o parengimas </w:t>
            </w:r>
            <w:r w:rsidRPr="0072368F">
              <w:rPr>
                <w:rStyle w:val="Hyperlink"/>
                <w:rFonts w:ascii="Times New Roman" w:hAnsi="Times New Roman" w:cs="Times New Roman"/>
                <w:color w:val="auto"/>
                <w:spacing w:val="3"/>
                <w:u w:val="none"/>
                <w:shd w:val="clear" w:color="auto" w:fill="FFFFFF"/>
                <w:lang w:val="lt-LT"/>
              </w:rPr>
              <w:t xml:space="preserve"> numatomas 2023 m. </w:t>
            </w:r>
          </w:p>
          <w:p w14:paraId="4559C47B" w14:textId="28D00681" w:rsidR="00431609" w:rsidRPr="0072368F" w:rsidRDefault="00431609" w:rsidP="001C340D">
            <w:pPr>
              <w:pStyle w:val="NormalWeb"/>
              <w:spacing w:before="0" w:beforeAutospacing="0" w:after="0" w:afterAutospacing="0"/>
              <w:jc w:val="both"/>
              <w:rPr>
                <w:lang w:val="lt-LT"/>
              </w:rPr>
            </w:pPr>
          </w:p>
        </w:tc>
        <w:tc>
          <w:tcPr>
            <w:tcW w:w="1843" w:type="dxa"/>
          </w:tcPr>
          <w:p w14:paraId="1FD36E83" w14:textId="77777777" w:rsidR="0099509A" w:rsidRPr="0072368F" w:rsidRDefault="0099509A" w:rsidP="002A7BFD">
            <w:pPr>
              <w:jc w:val="both"/>
              <w:rPr>
                <w:rFonts w:ascii="Times New Roman" w:hAnsi="Times New Roman" w:cs="Times New Roman"/>
                <w:lang w:val="lt-LT"/>
              </w:rPr>
            </w:pPr>
          </w:p>
        </w:tc>
      </w:tr>
      <w:tr w:rsidR="009C48E7" w:rsidRPr="0072368F" w14:paraId="2653395F" w14:textId="77777777" w:rsidTr="00546CFC">
        <w:trPr>
          <w:trHeight w:val="3652"/>
        </w:trPr>
        <w:tc>
          <w:tcPr>
            <w:tcW w:w="4673" w:type="dxa"/>
          </w:tcPr>
          <w:p w14:paraId="021C1615" w14:textId="36D19331" w:rsidR="009C48E7" w:rsidRPr="0072368F" w:rsidRDefault="00584AAF" w:rsidP="00546CFC">
            <w:pPr>
              <w:jc w:val="both"/>
              <w:rPr>
                <w:rFonts w:ascii="Times New Roman" w:hAnsi="Times New Roman" w:cs="Times New Roman"/>
                <w:lang w:val="lt-LT"/>
              </w:rPr>
            </w:pPr>
            <w:r w:rsidRPr="0072368F">
              <w:rPr>
                <w:rFonts w:ascii="Times New Roman" w:eastAsia="Calibri" w:hAnsi="Times New Roman" w:cs="Times New Roman"/>
                <w:kern w:val="0"/>
                <w:lang w:val="lt-LT"/>
                <w14:ligatures w14:val="none"/>
              </w:rPr>
              <w:lastRenderedPageBreak/>
              <w:t xml:space="preserve">4.1.3. Statinio naujos statybos ir statinio rekonstrukcijos sąvokų tapatumas sudaro sąlygas korupcijos rizikai pasireikšti statybos sektoriuje. Galiojantis reglamentavimas laikytinas ydingu, nes sudaro sąlygas neteisėtiems susitarimams, kyšininkavimui, piktnaudžiavimui reglamentavimu, vietoj naujos statybos pasirenkant statinio rekonstrukciją, kartu savivaldybės tarnautojui išplečiama </w:t>
            </w:r>
            <w:proofErr w:type="spellStart"/>
            <w:r w:rsidRPr="0072368F">
              <w:rPr>
                <w:rFonts w:ascii="Times New Roman" w:eastAsia="Calibri" w:hAnsi="Times New Roman" w:cs="Times New Roman"/>
                <w:kern w:val="0"/>
                <w:lang w:val="lt-LT"/>
                <w14:ligatures w14:val="none"/>
              </w:rPr>
              <w:t>diskrecija</w:t>
            </w:r>
            <w:proofErr w:type="spellEnd"/>
            <w:r w:rsidRPr="0072368F">
              <w:rPr>
                <w:rFonts w:ascii="Times New Roman" w:eastAsia="Calibri" w:hAnsi="Times New Roman" w:cs="Times New Roman"/>
                <w:kern w:val="0"/>
                <w:lang w:val="lt-LT"/>
                <w14:ligatures w14:val="none"/>
              </w:rPr>
              <w:t xml:space="preserve"> reikalauti iš statytojo, vystytojo ar planuotojo pagrįsti statybos rūšį arba to nedaryti. Korupcijos rizikos analizėje pateikiami pavyzdžiai kelia abejonių dėl statybos rūšies pasirinkimo (motyvai išdėstyti 3.9 poskyryje). </w:t>
            </w:r>
          </w:p>
        </w:tc>
        <w:tc>
          <w:tcPr>
            <w:tcW w:w="3402" w:type="dxa"/>
          </w:tcPr>
          <w:p w14:paraId="0A87E51F" w14:textId="77777777" w:rsidR="009C48E7" w:rsidRPr="0072368F" w:rsidRDefault="009C48E7" w:rsidP="002A7BFD">
            <w:pPr>
              <w:jc w:val="both"/>
              <w:rPr>
                <w:rFonts w:ascii="Times New Roman" w:hAnsi="Times New Roman" w:cs="Times New Roman"/>
                <w:lang w:val="lt-LT"/>
              </w:rPr>
            </w:pPr>
          </w:p>
        </w:tc>
        <w:tc>
          <w:tcPr>
            <w:tcW w:w="5103" w:type="dxa"/>
          </w:tcPr>
          <w:p w14:paraId="53D086F6" w14:textId="213F9D20" w:rsidR="009C48E7" w:rsidRPr="0072368F" w:rsidRDefault="00C0715F" w:rsidP="002A7BFD">
            <w:pPr>
              <w:jc w:val="both"/>
              <w:rPr>
                <w:rFonts w:ascii="Times New Roman" w:hAnsi="Times New Roman" w:cs="Times New Roman"/>
                <w:i/>
                <w:iCs/>
                <w:bdr w:val="none" w:sz="0" w:space="0" w:color="auto" w:frame="1"/>
                <w:lang w:val="lt-LT"/>
              </w:rPr>
            </w:pPr>
            <w:r w:rsidRPr="0072368F">
              <w:rPr>
                <w:rFonts w:ascii="Times New Roman" w:hAnsi="Times New Roman" w:cs="Times New Roman"/>
                <w:lang w:val="lt-LT"/>
              </w:rPr>
              <w:t xml:space="preserve">Informuojame, kad </w:t>
            </w:r>
            <w:r w:rsidR="00050674" w:rsidRPr="0072368F">
              <w:rPr>
                <w:rFonts w:ascii="Times New Roman" w:hAnsi="Times New Roman" w:cs="Times New Roman"/>
                <w:lang w:val="lt-LT"/>
              </w:rPr>
              <w:t xml:space="preserve">atsižvelgus į </w:t>
            </w:r>
            <w:r w:rsidR="00050674" w:rsidRPr="0072368F">
              <w:rPr>
                <w:rFonts w:ascii="Times New Roman" w:hAnsi="Times New Roman" w:cs="Times New Roman"/>
                <w:spacing w:val="2"/>
                <w:shd w:val="clear" w:color="auto" w:fill="FFFFFF"/>
                <w:lang w:val="lt-LT"/>
              </w:rPr>
              <w:t>Specialiųjų tyrimų tarnybos vertinimo dėl statybos leidimų išdavimo išvadas ir siekiant, kad nesikartotų tokie atvejai, kai sklypuose nuo pamatų išauga nauji pastatai,</w:t>
            </w:r>
            <w:r w:rsidR="001C340D" w:rsidRPr="0072368F">
              <w:rPr>
                <w:rFonts w:ascii="Times New Roman" w:hAnsi="Times New Roman" w:cs="Times New Roman"/>
                <w:spacing w:val="2"/>
                <w:shd w:val="clear" w:color="auto" w:fill="FFFFFF"/>
                <w:lang w:val="lt-LT"/>
              </w:rPr>
              <w:t xml:space="preserve"> </w:t>
            </w:r>
            <w:r w:rsidRPr="0072368F">
              <w:rPr>
                <w:rFonts w:ascii="Times New Roman" w:hAnsi="Times New Roman" w:cs="Times New Roman"/>
                <w:lang w:val="lt-LT"/>
              </w:rPr>
              <w:t xml:space="preserve">2023-11-01 įsigalios Statybos įstatymo </w:t>
            </w:r>
            <w:r w:rsidR="004C4592" w:rsidRPr="0072368F">
              <w:rPr>
                <w:rFonts w:ascii="Times New Roman" w:hAnsi="Times New Roman" w:cs="Times New Roman"/>
                <w:lang w:val="lt-LT"/>
              </w:rPr>
              <w:t xml:space="preserve">24 str. </w:t>
            </w:r>
            <w:r w:rsidR="001C340D" w:rsidRPr="0072368F">
              <w:rPr>
                <w:rFonts w:ascii="Times New Roman" w:hAnsi="Times New Roman" w:cs="Times New Roman"/>
                <w:lang w:val="lt-LT"/>
              </w:rPr>
              <w:t>2</w:t>
            </w:r>
            <w:r w:rsidR="001C340D" w:rsidRPr="0072368F">
              <w:rPr>
                <w:rFonts w:ascii="Times New Roman" w:hAnsi="Times New Roman" w:cs="Times New Roman"/>
                <w:vertAlign w:val="superscript"/>
                <w:lang w:val="lt-LT"/>
              </w:rPr>
              <w:t>2</w:t>
            </w:r>
            <w:r w:rsidR="001C340D" w:rsidRPr="0072368F">
              <w:rPr>
                <w:rFonts w:ascii="Times New Roman" w:hAnsi="Times New Roman" w:cs="Times New Roman"/>
                <w:lang w:val="lt-LT"/>
              </w:rPr>
              <w:t xml:space="preserve"> </w:t>
            </w:r>
            <w:r w:rsidR="004C4592" w:rsidRPr="0072368F">
              <w:rPr>
                <w:rFonts w:ascii="Times New Roman" w:hAnsi="Times New Roman" w:cs="Times New Roman"/>
                <w:lang w:val="lt-LT"/>
              </w:rPr>
              <w:t>d.  nuostata reglamentuojanti, kad</w:t>
            </w:r>
            <w:r w:rsidR="004C4592" w:rsidRPr="0072368F">
              <w:rPr>
                <w:rFonts w:ascii="Times New Roman" w:hAnsi="Times New Roman" w:cs="Times New Roman"/>
                <w:i/>
                <w:iCs/>
                <w:bdr w:val="none" w:sz="0" w:space="0" w:color="auto" w:frame="1"/>
                <w:lang w:val="lt-LT"/>
              </w:rPr>
              <w:t xml:space="preserve"> „Jeigu rekonstruojamo pastato </w:t>
            </w:r>
            <w:r w:rsidR="004C4592" w:rsidRPr="0072368F">
              <w:rPr>
                <w:rFonts w:ascii="Times New Roman" w:hAnsi="Times New Roman" w:cs="Times New Roman"/>
                <w:i/>
                <w:iCs/>
                <w:lang w:val="lt-LT"/>
              </w:rPr>
              <w:t>tūris padidėja daugiau negu 100 procentų</w:t>
            </w:r>
            <w:r w:rsidR="004C4592" w:rsidRPr="0072368F">
              <w:rPr>
                <w:rFonts w:ascii="Times New Roman" w:hAnsi="Times New Roman" w:cs="Times New Roman"/>
                <w:i/>
                <w:iCs/>
                <w:bdr w:val="none" w:sz="0" w:space="0" w:color="auto" w:frame="1"/>
                <w:lang w:val="lt-LT"/>
              </w:rPr>
              <w:t>, jam taikomi įstatymuose ir jų įgyvendinamuosiuose teisės aktuose, teritorijų planavimo dokumentuose nustatyti naujo statinio projektavimui ir statybai keliami reikalavimai.“</w:t>
            </w:r>
          </w:p>
          <w:p w14:paraId="1A6D804D" w14:textId="13B28EE0" w:rsidR="004C4592" w:rsidRPr="0072368F" w:rsidRDefault="004C4592" w:rsidP="00546CFC">
            <w:pPr>
              <w:jc w:val="both"/>
              <w:rPr>
                <w:rFonts w:ascii="Times New Roman" w:hAnsi="Times New Roman" w:cs="Times New Roman"/>
                <w:lang w:val="lt-LT"/>
              </w:rPr>
            </w:pPr>
          </w:p>
        </w:tc>
        <w:tc>
          <w:tcPr>
            <w:tcW w:w="1843" w:type="dxa"/>
          </w:tcPr>
          <w:p w14:paraId="75DFD09E" w14:textId="508A2EB7" w:rsidR="009C48E7" w:rsidRPr="0072368F" w:rsidRDefault="009C48E7" w:rsidP="00AB7907">
            <w:pPr>
              <w:jc w:val="both"/>
              <w:rPr>
                <w:rFonts w:ascii="Times New Roman" w:hAnsi="Times New Roman" w:cs="Times New Roman"/>
                <w:lang w:val="lt-LT"/>
              </w:rPr>
            </w:pPr>
          </w:p>
        </w:tc>
      </w:tr>
      <w:tr w:rsidR="00584AAF" w:rsidRPr="0072368F" w14:paraId="683C2549" w14:textId="77777777" w:rsidTr="00584AAF">
        <w:tc>
          <w:tcPr>
            <w:tcW w:w="4673" w:type="dxa"/>
          </w:tcPr>
          <w:p w14:paraId="793741B9" w14:textId="77777777" w:rsidR="00584AAF" w:rsidRPr="0072368F" w:rsidRDefault="00584AAF" w:rsidP="002A7BFD">
            <w:pPr>
              <w:jc w:val="both"/>
              <w:rPr>
                <w:rFonts w:ascii="Times New Roman" w:eastAsia="Calibri" w:hAnsi="Times New Roman" w:cs="Times New Roman"/>
                <w:kern w:val="0"/>
                <w:lang w:val="lt-LT"/>
                <w14:ligatures w14:val="none"/>
              </w:rPr>
            </w:pPr>
            <w:r w:rsidRPr="0072368F">
              <w:rPr>
                <w:rFonts w:ascii="Times New Roman" w:eastAsia="Calibri" w:hAnsi="Times New Roman" w:cs="Times New Roman"/>
                <w:kern w:val="0"/>
                <w:lang w:val="lt-LT"/>
                <w14:ligatures w14:val="none"/>
              </w:rPr>
              <w:t xml:space="preserve">4.1.4. Statinių klasifikaciją apibrėžiantys teisės aktai sudaro sąlygas projektuoti ir statyti gyvenimui ir (ar) poilsiui pritaikytus administracinės paskirties, pagalbinio ūkio paskirties pastatus ir pan., o savivaldybių administracijos išduoda statybą leidžiančius dokumentus šių pastatų statybai. Galiojantis reglamentavimas laikytinas ydingu, nes sudaro sąlygas neteisėtiems susitarimams, kyšininkavimui, piktnaudžiavimui, vietoj naujos statybos pasirenkant statinio rekonstrukciją, kartu savivaldybės tarnautojui išplečiama </w:t>
            </w:r>
            <w:proofErr w:type="spellStart"/>
            <w:r w:rsidRPr="0072368F">
              <w:rPr>
                <w:rFonts w:ascii="Times New Roman" w:eastAsia="Calibri" w:hAnsi="Times New Roman" w:cs="Times New Roman"/>
                <w:kern w:val="0"/>
                <w:lang w:val="lt-LT"/>
                <w14:ligatures w14:val="none"/>
              </w:rPr>
              <w:t>diskrecija</w:t>
            </w:r>
            <w:proofErr w:type="spellEnd"/>
            <w:r w:rsidRPr="0072368F">
              <w:rPr>
                <w:rFonts w:ascii="Times New Roman" w:eastAsia="Calibri" w:hAnsi="Times New Roman" w:cs="Times New Roman"/>
                <w:kern w:val="0"/>
                <w:lang w:val="lt-LT"/>
                <w14:ligatures w14:val="none"/>
              </w:rPr>
              <w:t xml:space="preserve"> reikalauti iš statytojo, vystytojo ar planuotojo pagrįsti statybos rūšį arba to nedaryti. Korupcijos rizikos analizėje pateikiami pavyzdžiai kelia abejonių dėl statybos rūšies pasirinkimo (motyvai išdėstyti 3.10 poskyryje).</w:t>
            </w:r>
          </w:p>
          <w:p w14:paraId="32F2ECC6" w14:textId="77777777" w:rsidR="00C0715F" w:rsidRPr="0072368F" w:rsidRDefault="00C0715F" w:rsidP="002A7BFD">
            <w:pPr>
              <w:jc w:val="both"/>
              <w:rPr>
                <w:rFonts w:ascii="Times New Roman" w:eastAsia="Calibri" w:hAnsi="Times New Roman" w:cs="Times New Roman"/>
                <w:kern w:val="0"/>
                <w:lang w:val="lt-LT"/>
                <w14:ligatures w14:val="none"/>
              </w:rPr>
            </w:pPr>
          </w:p>
          <w:p w14:paraId="17AB0DE3" w14:textId="5A300486" w:rsidR="00584AAF" w:rsidRPr="0072368F" w:rsidRDefault="00584AAF" w:rsidP="002A7BFD">
            <w:pPr>
              <w:jc w:val="both"/>
              <w:rPr>
                <w:rFonts w:ascii="Times New Roman" w:eastAsia="Calibri" w:hAnsi="Times New Roman" w:cs="Times New Roman"/>
                <w:kern w:val="0"/>
                <w:lang w:val="lt-LT"/>
                <w14:ligatures w14:val="none"/>
              </w:rPr>
            </w:pPr>
          </w:p>
          <w:p w14:paraId="58FC53C7" w14:textId="77777777" w:rsidR="00584AAF" w:rsidRPr="0072368F" w:rsidRDefault="00584AAF" w:rsidP="002A7BFD">
            <w:pPr>
              <w:jc w:val="both"/>
              <w:rPr>
                <w:rFonts w:ascii="Times New Roman" w:hAnsi="Times New Roman" w:cs="Times New Roman"/>
                <w:lang w:val="lt-LT"/>
              </w:rPr>
            </w:pPr>
          </w:p>
          <w:p w14:paraId="62C0D98F" w14:textId="77777777" w:rsidR="00584AAF" w:rsidRPr="0072368F" w:rsidRDefault="00584AAF" w:rsidP="002A7BFD">
            <w:pPr>
              <w:jc w:val="both"/>
              <w:rPr>
                <w:rFonts w:ascii="Times New Roman" w:hAnsi="Times New Roman" w:cs="Times New Roman"/>
                <w:lang w:val="lt-LT"/>
              </w:rPr>
            </w:pPr>
          </w:p>
          <w:p w14:paraId="23B9F427" w14:textId="77777777" w:rsidR="00584AAF" w:rsidRPr="0072368F" w:rsidRDefault="00584AAF" w:rsidP="002A7BFD">
            <w:pPr>
              <w:jc w:val="both"/>
              <w:rPr>
                <w:rFonts w:ascii="Times New Roman" w:hAnsi="Times New Roman" w:cs="Times New Roman"/>
                <w:lang w:val="lt-LT"/>
              </w:rPr>
            </w:pPr>
          </w:p>
        </w:tc>
        <w:tc>
          <w:tcPr>
            <w:tcW w:w="3402" w:type="dxa"/>
          </w:tcPr>
          <w:p w14:paraId="43A3146E" w14:textId="6805BE82" w:rsidR="0099509A" w:rsidRPr="0072368F" w:rsidRDefault="0099509A" w:rsidP="002A7BFD">
            <w:pPr>
              <w:tabs>
                <w:tab w:val="left" w:pos="1560"/>
              </w:tabs>
              <w:contextualSpacing/>
              <w:jc w:val="both"/>
              <w:rPr>
                <w:rFonts w:ascii="Times New Roman" w:eastAsia="Times New Roman" w:hAnsi="Times New Roman" w:cs="Times New Roman"/>
                <w:lang w:val="lt-LT"/>
              </w:rPr>
            </w:pPr>
            <w:r w:rsidRPr="0072368F">
              <w:rPr>
                <w:rFonts w:ascii="Times New Roman" w:eastAsia="Times New Roman" w:hAnsi="Times New Roman" w:cs="Times New Roman"/>
                <w:lang w:val="lt-LT"/>
              </w:rPr>
              <w:t>5.1.4.Aplinkos ministerijai įgyvendinant Specialiųjų tyrimų tarnybos atliktos korupcijos rizikos analizės išvadoje dėl statybą leidžiančių dokumentų išdavimo Vilniaus miesto savivaldybėje pateiktą pasiūlymą (1.5) „inicijuoti teisės aktų pakeitimus ir nustatyti aiškius paskirties reikalavimus pastatams, t. y. numatyti, kokios sudėties turi būti viešbutis, svečių namai, nakvynės namai ir t. t.“, atsižvelgti ir į šioje dalyje išdėstytą problematiką dėl aiškaus negyvenamųjų ir gyvenamųjų pastatų atskyrimo.</w:t>
            </w:r>
          </w:p>
          <w:p w14:paraId="2FD836D7" w14:textId="77777777" w:rsidR="00584AAF" w:rsidRPr="0072368F" w:rsidRDefault="00584AAF" w:rsidP="002A7BFD">
            <w:pPr>
              <w:jc w:val="both"/>
              <w:rPr>
                <w:rFonts w:ascii="Times New Roman" w:hAnsi="Times New Roman" w:cs="Times New Roman"/>
                <w:lang w:val="lt-LT"/>
              </w:rPr>
            </w:pPr>
          </w:p>
        </w:tc>
        <w:tc>
          <w:tcPr>
            <w:tcW w:w="5103" w:type="dxa"/>
          </w:tcPr>
          <w:p w14:paraId="6D673109" w14:textId="4F6F1A4B" w:rsidR="00472F86" w:rsidRPr="0072368F" w:rsidRDefault="00A01DD8" w:rsidP="00050674">
            <w:pPr>
              <w:shd w:val="clear" w:color="auto" w:fill="FFFFFF"/>
              <w:jc w:val="both"/>
              <w:rPr>
                <w:rFonts w:ascii="Times New Roman" w:eastAsia="Times New Roman" w:hAnsi="Times New Roman" w:cs="Times New Roman"/>
                <w:color w:val="000000"/>
                <w:kern w:val="0"/>
                <w:shd w:val="clear" w:color="auto" w:fill="FFFFFF"/>
                <w:lang w:val="lt-LT" w:eastAsia="en-GB"/>
                <w14:ligatures w14:val="none"/>
              </w:rPr>
            </w:pPr>
            <w:r w:rsidRPr="0072368F">
              <w:rPr>
                <w:rFonts w:ascii="Times New Roman" w:eastAsia="Times New Roman" w:hAnsi="Times New Roman" w:cs="Times New Roman"/>
                <w:color w:val="000000"/>
                <w:kern w:val="0"/>
                <w:shd w:val="clear" w:color="auto" w:fill="FFFFFF"/>
                <w:lang w:val="lt-LT" w:eastAsia="en-GB"/>
                <w14:ligatures w14:val="none"/>
              </w:rPr>
              <w:t>Aplinko ministerija pritaria pastabai ir i</w:t>
            </w:r>
            <w:r w:rsidR="00472F86" w:rsidRPr="0072368F">
              <w:rPr>
                <w:rFonts w:ascii="Times New Roman" w:eastAsia="Times New Roman" w:hAnsi="Times New Roman" w:cs="Times New Roman"/>
                <w:color w:val="000000"/>
                <w:kern w:val="0"/>
                <w:shd w:val="clear" w:color="auto" w:fill="FFFFFF"/>
                <w:lang w:val="lt-LT" w:eastAsia="en-GB"/>
                <w14:ligatures w14:val="none"/>
              </w:rPr>
              <w:t>nformuoja, kad aplinkos ministro 2022-11-30 įsakymu Nr. V-197 „Dėl darbo grupės teisės aktų, reglamentuojančių projektuojamų statinių paskirties reikalavimų kriterijus, tobulinimo pasiūlymams pateikti sudarymo“ sudaryta darbo grupė išnagrinėjo teisės aktų, reglamentuojančių projektuojamų statinių paskirties reikalavimus, nuostatas ir Lietuvos Respublikos Seimo Aplinkos apsaugos komitete 2023-03-22 pristatė rezultatus (</w:t>
            </w:r>
            <w:hyperlink r:id="rId9" w:history="1">
              <w:r w:rsidR="00472F86" w:rsidRPr="0072368F">
                <w:rPr>
                  <w:rFonts w:ascii="Times New Roman" w:eastAsia="Times New Roman" w:hAnsi="Times New Roman" w:cs="Times New Roman"/>
                  <w:color w:val="0000FF"/>
                  <w:kern w:val="0"/>
                  <w:u w:val="single"/>
                  <w:shd w:val="clear" w:color="auto" w:fill="FFFFFF"/>
                  <w:lang w:val="lt-LT" w:eastAsia="en-GB"/>
                  <w14:ligatures w14:val="none"/>
                </w:rPr>
                <w:t>https://www.youtube.com/watch?v=6IcAnn-DDvw</w:t>
              </w:r>
            </w:hyperlink>
            <w:r w:rsidR="00472F86" w:rsidRPr="0072368F">
              <w:rPr>
                <w:rFonts w:ascii="Times New Roman" w:eastAsia="Times New Roman" w:hAnsi="Times New Roman" w:cs="Times New Roman"/>
                <w:color w:val="000000"/>
                <w:kern w:val="0"/>
                <w:shd w:val="clear" w:color="auto" w:fill="FFFFFF"/>
                <w:lang w:val="lt-LT" w:eastAsia="en-GB"/>
                <w14:ligatures w14:val="none"/>
              </w:rPr>
              <w:t xml:space="preserve">), kurių pagrindu </w:t>
            </w:r>
            <w:r w:rsidR="004C257E" w:rsidRPr="0072368F">
              <w:rPr>
                <w:rFonts w:ascii="Times New Roman" w:eastAsia="Times New Roman" w:hAnsi="Times New Roman" w:cs="Times New Roman"/>
                <w:color w:val="000000"/>
                <w:kern w:val="0"/>
                <w:shd w:val="clear" w:color="auto" w:fill="FFFFFF"/>
                <w:lang w:val="lt-LT" w:eastAsia="en-GB"/>
                <w14:ligatures w14:val="none"/>
              </w:rPr>
              <w:t>p</w:t>
            </w:r>
            <w:r w:rsidR="00EF185F" w:rsidRPr="0072368F">
              <w:rPr>
                <w:rFonts w:ascii="Times New Roman" w:eastAsia="Times New Roman" w:hAnsi="Times New Roman" w:cs="Times New Roman"/>
                <w:color w:val="000000"/>
                <w:kern w:val="0"/>
                <w:shd w:val="clear" w:color="auto" w:fill="FFFFFF"/>
                <w:lang w:val="lt-LT" w:eastAsia="en-GB"/>
                <w14:ligatures w14:val="none"/>
              </w:rPr>
              <w:t>la</w:t>
            </w:r>
            <w:r w:rsidR="004C257E" w:rsidRPr="0072368F">
              <w:rPr>
                <w:rFonts w:ascii="Times New Roman" w:eastAsia="Times New Roman" w:hAnsi="Times New Roman" w:cs="Times New Roman"/>
                <w:color w:val="000000"/>
                <w:kern w:val="0"/>
                <w:shd w:val="clear" w:color="auto" w:fill="FFFFFF"/>
                <w:lang w:val="lt-LT" w:eastAsia="en-GB"/>
                <w14:ligatures w14:val="none"/>
              </w:rPr>
              <w:t xml:space="preserve">nuojama 2023 m. patikslinti </w:t>
            </w:r>
            <w:r w:rsidR="00472F86" w:rsidRPr="0072368F">
              <w:rPr>
                <w:rFonts w:ascii="Times New Roman" w:eastAsia="Times New Roman" w:hAnsi="Times New Roman" w:cs="Times New Roman"/>
                <w:color w:val="000000"/>
                <w:kern w:val="0"/>
                <w:shd w:val="clear" w:color="auto" w:fill="FFFFFF"/>
                <w:lang w:val="lt-LT" w:eastAsia="en-GB"/>
                <w14:ligatures w14:val="none"/>
              </w:rPr>
              <w:t xml:space="preserve">teisės aktų </w:t>
            </w:r>
            <w:r w:rsidR="004C257E" w:rsidRPr="0072368F">
              <w:rPr>
                <w:rFonts w:ascii="Times New Roman" w:eastAsia="Times New Roman" w:hAnsi="Times New Roman" w:cs="Times New Roman"/>
                <w:color w:val="000000"/>
                <w:kern w:val="0"/>
                <w:shd w:val="clear" w:color="auto" w:fill="FFFFFF"/>
                <w:lang w:val="lt-LT" w:eastAsia="en-GB"/>
                <w14:ligatures w14:val="none"/>
              </w:rPr>
              <w:t>reikalavimus</w:t>
            </w:r>
            <w:r w:rsidR="00472F86" w:rsidRPr="0072368F">
              <w:rPr>
                <w:rFonts w:ascii="Times New Roman" w:eastAsia="Times New Roman" w:hAnsi="Times New Roman" w:cs="Times New Roman"/>
                <w:color w:val="000000"/>
                <w:kern w:val="0"/>
                <w:shd w:val="clear" w:color="auto" w:fill="FFFFFF"/>
                <w:lang w:val="lt-LT" w:eastAsia="en-GB"/>
                <w14:ligatures w14:val="none"/>
              </w:rPr>
              <w:t xml:space="preserve">, </w:t>
            </w:r>
            <w:r w:rsidR="004C257E" w:rsidRPr="0072368F">
              <w:rPr>
                <w:rFonts w:ascii="Times New Roman" w:eastAsia="Times New Roman" w:hAnsi="Times New Roman" w:cs="Times New Roman"/>
                <w:color w:val="000000"/>
                <w:kern w:val="0"/>
                <w:shd w:val="clear" w:color="auto" w:fill="FFFFFF"/>
                <w:lang w:val="lt-LT" w:eastAsia="en-GB"/>
                <w14:ligatures w14:val="none"/>
              </w:rPr>
              <w:t xml:space="preserve">susijusius </w:t>
            </w:r>
            <w:r w:rsidR="00472F86" w:rsidRPr="0072368F">
              <w:rPr>
                <w:rFonts w:ascii="Times New Roman" w:eastAsia="Times New Roman" w:hAnsi="Times New Roman" w:cs="Times New Roman"/>
                <w:color w:val="000000"/>
                <w:kern w:val="0"/>
                <w:shd w:val="clear" w:color="auto" w:fill="FFFFFF"/>
                <w:lang w:val="lt-LT" w:eastAsia="en-GB"/>
                <w14:ligatures w14:val="none"/>
              </w:rPr>
              <w:t>su statinių (patalpų) paskirčių reglamentavimu. Peržiūrėti paskirties reikalavimai palengvins pastatų naudojimo priežiūrą, nes bus nustatyti aiškesni pastatų paskirčių kriterijai, kurių pagrindu bus galima aiškiau ir skaidriau spręsti apie pastato naudojimą ne pagal paskirtį.</w:t>
            </w:r>
          </w:p>
          <w:p w14:paraId="14BC9233" w14:textId="1CE4114B" w:rsidR="00584AAF" w:rsidRPr="0072368F" w:rsidRDefault="009372F1" w:rsidP="009372F1">
            <w:pPr>
              <w:jc w:val="both"/>
              <w:rPr>
                <w:rFonts w:ascii="Times New Roman" w:hAnsi="Times New Roman" w:cs="Times New Roman"/>
                <w:lang w:val="lt-LT"/>
              </w:rPr>
            </w:pPr>
            <w:r w:rsidRPr="0072368F">
              <w:rPr>
                <w:rFonts w:ascii="Times New Roman" w:hAnsi="Times New Roman" w:cs="Times New Roman"/>
                <w:lang w:val="lt-LT"/>
              </w:rPr>
              <w:t xml:space="preserve"> </w:t>
            </w:r>
          </w:p>
        </w:tc>
        <w:tc>
          <w:tcPr>
            <w:tcW w:w="1843" w:type="dxa"/>
          </w:tcPr>
          <w:p w14:paraId="21417BEE" w14:textId="77777777" w:rsidR="00584AAF" w:rsidRPr="0072368F" w:rsidRDefault="00584AAF" w:rsidP="002A7BFD">
            <w:pPr>
              <w:jc w:val="both"/>
              <w:rPr>
                <w:rFonts w:ascii="Times New Roman" w:hAnsi="Times New Roman" w:cs="Times New Roman"/>
                <w:lang w:val="lt-LT"/>
              </w:rPr>
            </w:pPr>
          </w:p>
        </w:tc>
      </w:tr>
      <w:tr w:rsidR="00584AAF" w:rsidRPr="0072368F" w14:paraId="4D790B28" w14:textId="77777777" w:rsidTr="009B57D2">
        <w:tc>
          <w:tcPr>
            <w:tcW w:w="15021" w:type="dxa"/>
            <w:gridSpan w:val="4"/>
          </w:tcPr>
          <w:p w14:paraId="64C0A4A4" w14:textId="37EA7F4E" w:rsidR="00584AAF" w:rsidRPr="0072368F" w:rsidRDefault="00584AAF" w:rsidP="003A16A4">
            <w:pPr>
              <w:pStyle w:val="ListParagraph"/>
              <w:numPr>
                <w:ilvl w:val="0"/>
                <w:numId w:val="1"/>
              </w:numPr>
              <w:ind w:left="0"/>
              <w:jc w:val="center"/>
              <w:rPr>
                <w:rFonts w:ascii="Times New Roman" w:hAnsi="Times New Roman" w:cs="Times New Roman"/>
                <w:lang w:val="lt-LT"/>
              </w:rPr>
            </w:pPr>
            <w:r w:rsidRPr="0072368F">
              <w:rPr>
                <w:rFonts w:ascii="Times New Roman" w:eastAsia="Times New Roman" w:hAnsi="Times New Roman" w:cs="Times New Roman"/>
                <w:i/>
                <w:snapToGrid w:val="0"/>
                <w:kern w:val="0"/>
                <w:lang w:val="lt-LT" w:eastAsia="lt-LT"/>
                <w14:ligatures w14:val="none"/>
              </w:rPr>
              <w:t>Kitos antikorupcinės pastabos</w:t>
            </w:r>
          </w:p>
        </w:tc>
      </w:tr>
      <w:tr w:rsidR="00584AAF" w:rsidRPr="0072368F" w14:paraId="3084CD4E" w14:textId="77777777" w:rsidTr="00584AAF">
        <w:tc>
          <w:tcPr>
            <w:tcW w:w="4673" w:type="dxa"/>
          </w:tcPr>
          <w:p w14:paraId="6BADE73E" w14:textId="77777777" w:rsidR="00584AAF" w:rsidRPr="0072368F" w:rsidRDefault="00584AAF" w:rsidP="002A7BFD">
            <w:pPr>
              <w:jc w:val="both"/>
              <w:rPr>
                <w:rFonts w:ascii="Times New Roman" w:eastAsia="Calibri" w:hAnsi="Times New Roman" w:cs="Times New Roman"/>
                <w:kern w:val="0"/>
                <w:lang w:val="lt-LT"/>
                <w14:ligatures w14:val="none"/>
              </w:rPr>
            </w:pPr>
            <w:r w:rsidRPr="0072368F">
              <w:rPr>
                <w:rFonts w:ascii="Times New Roman" w:eastAsia="Calibri" w:hAnsi="Times New Roman" w:cs="Times New Roman"/>
                <w:kern w:val="0"/>
                <w:lang w:val="lt-LT"/>
                <w14:ligatures w14:val="none"/>
              </w:rPr>
              <w:lastRenderedPageBreak/>
              <w:t>4.2.5. Išduodant statybą leidžiantį dokumentą kai kuriais atvejais neįvertinamos žemės sklypo naudojimo sutartys, žemės naudojimo būdas ir paskirtis. Neįvertinus žemės sklypo naudojimo sutarčių, žemės naudojimo būdo ir paskirties gali būti sudaromos palankesnės sąlygos prašymus dėl statybą leidžiančių dokumentų išdavimo pateikusiems subjektams: neatliekamos būtinos žemės paskirties keitimo procedūros, neužtikrinamas statybą leidžiančių dokumentų išdavimo skaidrumas (motyvai išdėstyti 3.7 poskyryje).</w:t>
            </w:r>
          </w:p>
          <w:p w14:paraId="003502F0" w14:textId="77777777" w:rsidR="00584AAF" w:rsidRPr="0072368F" w:rsidRDefault="00584AAF" w:rsidP="002A7BFD">
            <w:pPr>
              <w:jc w:val="both"/>
              <w:rPr>
                <w:rFonts w:ascii="Times New Roman" w:hAnsi="Times New Roman" w:cs="Times New Roman"/>
                <w:lang w:val="lt-LT"/>
              </w:rPr>
            </w:pPr>
          </w:p>
        </w:tc>
        <w:tc>
          <w:tcPr>
            <w:tcW w:w="3402" w:type="dxa"/>
          </w:tcPr>
          <w:p w14:paraId="0CBE5887" w14:textId="77777777" w:rsidR="00584AAF" w:rsidRPr="0072368F" w:rsidRDefault="00584AAF" w:rsidP="002A7BFD">
            <w:pPr>
              <w:jc w:val="both"/>
              <w:rPr>
                <w:rFonts w:ascii="Times New Roman" w:hAnsi="Times New Roman" w:cs="Times New Roman"/>
                <w:lang w:val="lt-LT"/>
              </w:rPr>
            </w:pPr>
          </w:p>
        </w:tc>
        <w:tc>
          <w:tcPr>
            <w:tcW w:w="5103" w:type="dxa"/>
          </w:tcPr>
          <w:p w14:paraId="71F797CA" w14:textId="3F324AE2" w:rsidR="003A16A4" w:rsidRPr="0072368F" w:rsidRDefault="00C73625" w:rsidP="003A16A4">
            <w:pPr>
              <w:jc w:val="both"/>
              <w:rPr>
                <w:rFonts w:ascii="Times New Roman" w:hAnsi="Times New Roman" w:cs="Times New Roman"/>
                <w:i/>
                <w:iCs/>
                <w:color w:val="000000"/>
                <w:lang w:val="lt-LT"/>
              </w:rPr>
            </w:pPr>
            <w:r w:rsidRPr="0072368F">
              <w:rPr>
                <w:rFonts w:ascii="Times New Roman" w:hAnsi="Times New Roman" w:cs="Times New Roman"/>
                <w:color w:val="000000"/>
                <w:lang w:val="lt-LT"/>
              </w:rPr>
              <w:t xml:space="preserve">Statinių projektus tikrinančių subjektų kompetencija reglamentuota </w:t>
            </w:r>
            <w:r w:rsidRPr="0072368F">
              <w:rPr>
                <w:rFonts w:ascii="Times New Roman" w:hAnsi="Times New Roman" w:cs="Times New Roman"/>
                <w:lang w:val="lt-LT"/>
              </w:rPr>
              <w:t>Lietuvos Respublikos statybos įstatymo 27</w:t>
            </w:r>
            <w:r w:rsidRPr="0072368F">
              <w:rPr>
                <w:rFonts w:ascii="Times New Roman" w:hAnsi="Times New Roman" w:cs="Times New Roman"/>
                <w:vertAlign w:val="superscript"/>
                <w:lang w:val="lt-LT"/>
              </w:rPr>
              <w:t>1</w:t>
            </w:r>
            <w:r w:rsidRPr="0072368F">
              <w:rPr>
                <w:rFonts w:ascii="Times New Roman" w:hAnsi="Times New Roman" w:cs="Times New Roman"/>
                <w:lang w:val="lt-LT"/>
              </w:rPr>
              <w:t xml:space="preserve"> str.</w:t>
            </w:r>
            <w:r w:rsidR="00AB7907" w:rsidRPr="0072368F">
              <w:rPr>
                <w:rFonts w:ascii="Times New Roman" w:hAnsi="Times New Roman" w:cs="Times New Roman"/>
                <w:lang w:val="lt-LT"/>
              </w:rPr>
              <w:t xml:space="preserve"> </w:t>
            </w:r>
            <w:r w:rsidR="00F76BF6" w:rsidRPr="0072368F">
              <w:rPr>
                <w:rFonts w:ascii="Times New Roman" w:hAnsi="Times New Roman" w:cs="Times New Roman"/>
                <w:color w:val="000000"/>
                <w:lang w:val="lt-LT"/>
              </w:rPr>
              <w:t>S</w:t>
            </w:r>
            <w:r w:rsidRPr="0072368F">
              <w:rPr>
                <w:rFonts w:ascii="Times New Roman" w:hAnsi="Times New Roman" w:cs="Times New Roman"/>
                <w:color w:val="000000"/>
                <w:lang w:val="lt-LT"/>
              </w:rPr>
              <w:t>avivaldybių administracijos tikrina visus statybą leidžiančiam dokumentui gauti pateiktus  statinių projektus</w:t>
            </w:r>
            <w:r w:rsidR="003D651B" w:rsidRPr="0072368F">
              <w:rPr>
                <w:rFonts w:ascii="Times New Roman" w:hAnsi="Times New Roman" w:cs="Times New Roman"/>
                <w:color w:val="000000"/>
                <w:lang w:val="lt-LT"/>
              </w:rPr>
              <w:t xml:space="preserve"> tikrina vadovaudamosi S</w:t>
            </w:r>
            <w:r w:rsidR="003D651B" w:rsidRPr="0072368F">
              <w:rPr>
                <w:rFonts w:ascii="Times New Roman" w:hAnsi="Times New Roman" w:cs="Times New Roman"/>
                <w:lang w:val="lt-LT"/>
              </w:rPr>
              <w:t>tatybos įstatymo 27</w:t>
            </w:r>
            <w:r w:rsidR="003D651B" w:rsidRPr="0072368F">
              <w:rPr>
                <w:rFonts w:ascii="Times New Roman" w:hAnsi="Times New Roman" w:cs="Times New Roman"/>
                <w:vertAlign w:val="superscript"/>
                <w:lang w:val="lt-LT"/>
              </w:rPr>
              <w:t>1</w:t>
            </w:r>
            <w:r w:rsidR="003D651B" w:rsidRPr="0072368F">
              <w:rPr>
                <w:rFonts w:ascii="Times New Roman" w:hAnsi="Times New Roman" w:cs="Times New Roman"/>
                <w:lang w:val="lt-LT"/>
              </w:rPr>
              <w:t xml:space="preserve"> str. suteikta kompetencija,</w:t>
            </w:r>
            <w:r w:rsidR="003A16A4" w:rsidRPr="0072368F">
              <w:rPr>
                <w:rFonts w:ascii="Times New Roman" w:hAnsi="Times New Roman" w:cs="Times New Roman"/>
                <w:lang w:val="lt-LT"/>
              </w:rPr>
              <w:t xml:space="preserve"> Pagal minėto straipsnio 1 d. 9 p. tikrinama</w:t>
            </w:r>
            <w:r w:rsidRPr="0072368F">
              <w:rPr>
                <w:rFonts w:ascii="Times New Roman" w:hAnsi="Times New Roman" w:cs="Times New Roman"/>
                <w:lang w:val="lt-LT"/>
              </w:rPr>
              <w:t xml:space="preserve"> </w:t>
            </w:r>
            <w:r w:rsidR="003A16A4" w:rsidRPr="0072368F">
              <w:rPr>
                <w:rFonts w:ascii="Times New Roman" w:hAnsi="Times New Roman" w:cs="Times New Roman"/>
                <w:i/>
                <w:iCs/>
                <w:color w:val="000000"/>
                <w:lang w:val="lt-LT"/>
              </w:rPr>
              <w:t>ar statinio projekto sprendiniai neprieštarauja teritorijų planavimo dokumentų sprendiniams, ar statinio projekto sprendiniai atitinka valstybinės žemės nuomos sutarties sąlygas, kai šį statinį planuojama statyti išnuomotame valstybinės žemės sklype, ar į valstybės biudžetą sumokėtas atlyginimas už teisę statyti valstybinėje žemėje, kai toks mokėjimas privalomas vadovaujantis Žemės įstatymo 9</w:t>
            </w:r>
            <w:r w:rsidR="003A16A4" w:rsidRPr="0072368F">
              <w:rPr>
                <w:rFonts w:ascii="Times New Roman" w:hAnsi="Times New Roman" w:cs="Times New Roman"/>
                <w:i/>
                <w:iCs/>
                <w:color w:val="000000"/>
                <w:vertAlign w:val="superscript"/>
                <w:lang w:val="lt-LT"/>
              </w:rPr>
              <w:t>1</w:t>
            </w:r>
            <w:r w:rsidR="003A16A4" w:rsidRPr="0072368F">
              <w:rPr>
                <w:rFonts w:ascii="Times New Roman" w:hAnsi="Times New Roman" w:cs="Times New Roman"/>
                <w:i/>
                <w:iCs/>
                <w:color w:val="000000"/>
                <w:lang w:val="lt-LT"/>
              </w:rPr>
              <w:t> straipsnio 3, 4 ir 5 dalimis.</w:t>
            </w:r>
          </w:p>
          <w:p w14:paraId="7D56F461" w14:textId="7407E988" w:rsidR="003A16A4" w:rsidRPr="0072368F" w:rsidRDefault="003A16A4" w:rsidP="00546CFC">
            <w:pPr>
              <w:jc w:val="both"/>
              <w:rPr>
                <w:rFonts w:ascii="Times New Roman" w:hAnsi="Times New Roman" w:cs="Times New Roman"/>
                <w:lang w:val="lt-LT"/>
              </w:rPr>
            </w:pPr>
            <w:r w:rsidRPr="0072368F">
              <w:rPr>
                <w:rFonts w:ascii="Times New Roman" w:hAnsi="Times New Roman" w:cs="Times New Roman"/>
                <w:color w:val="000000"/>
                <w:lang w:val="lt-LT"/>
              </w:rPr>
              <w:t xml:space="preserve">Manytina, kad teisinis reguliavimas </w:t>
            </w:r>
            <w:r w:rsidR="003D651B" w:rsidRPr="0072368F">
              <w:rPr>
                <w:rFonts w:ascii="Times New Roman" w:hAnsi="Times New Roman" w:cs="Times New Roman"/>
                <w:color w:val="000000"/>
                <w:lang w:val="lt-LT"/>
              </w:rPr>
              <w:t xml:space="preserve">šioje srityje </w:t>
            </w:r>
            <w:r w:rsidRPr="0072368F">
              <w:rPr>
                <w:rFonts w:ascii="Times New Roman" w:hAnsi="Times New Roman" w:cs="Times New Roman"/>
                <w:color w:val="000000"/>
                <w:lang w:val="lt-LT"/>
              </w:rPr>
              <w:t>yra pakankamas.</w:t>
            </w:r>
          </w:p>
        </w:tc>
        <w:tc>
          <w:tcPr>
            <w:tcW w:w="1843" w:type="dxa"/>
          </w:tcPr>
          <w:p w14:paraId="0BEA2471" w14:textId="77777777" w:rsidR="00584AAF" w:rsidRPr="0072368F" w:rsidRDefault="00584AAF" w:rsidP="002A7BFD">
            <w:pPr>
              <w:jc w:val="both"/>
              <w:rPr>
                <w:rFonts w:ascii="Times New Roman" w:hAnsi="Times New Roman" w:cs="Times New Roman"/>
                <w:lang w:val="lt-LT"/>
              </w:rPr>
            </w:pPr>
          </w:p>
        </w:tc>
      </w:tr>
      <w:tr w:rsidR="00584AAF" w:rsidRPr="0072368F" w14:paraId="63FD010D" w14:textId="77777777" w:rsidTr="006D2FD5">
        <w:tc>
          <w:tcPr>
            <w:tcW w:w="15021" w:type="dxa"/>
            <w:gridSpan w:val="4"/>
          </w:tcPr>
          <w:p w14:paraId="702F5C83" w14:textId="340176E0" w:rsidR="00584AAF" w:rsidRPr="0072368F" w:rsidRDefault="00584AAF" w:rsidP="003A16A4">
            <w:pPr>
              <w:pStyle w:val="ListParagraph"/>
              <w:numPr>
                <w:ilvl w:val="0"/>
                <w:numId w:val="1"/>
              </w:numPr>
              <w:ind w:left="0"/>
              <w:jc w:val="center"/>
              <w:rPr>
                <w:rFonts w:ascii="Times New Roman" w:hAnsi="Times New Roman" w:cs="Times New Roman"/>
                <w:lang w:val="lt-LT"/>
              </w:rPr>
            </w:pPr>
            <w:r w:rsidRPr="0072368F">
              <w:rPr>
                <w:rFonts w:ascii="Times New Roman" w:eastAsia="Times New Roman" w:hAnsi="Times New Roman" w:cs="Times New Roman"/>
                <w:i/>
                <w:snapToGrid w:val="0"/>
                <w:kern w:val="0"/>
                <w:lang w:val="lt-LT" w:eastAsia="lt-LT"/>
                <w14:ligatures w14:val="none"/>
              </w:rPr>
              <w:t>Kitos pastabos</w:t>
            </w:r>
          </w:p>
        </w:tc>
      </w:tr>
      <w:tr w:rsidR="00584AAF" w:rsidRPr="0072368F" w14:paraId="2C3EB5C7" w14:textId="77777777" w:rsidTr="00584AAF">
        <w:tc>
          <w:tcPr>
            <w:tcW w:w="4673" w:type="dxa"/>
          </w:tcPr>
          <w:p w14:paraId="592F2E5F" w14:textId="77777777" w:rsidR="00584AAF" w:rsidRPr="0072368F" w:rsidRDefault="00584AAF" w:rsidP="001D73A9">
            <w:pPr>
              <w:jc w:val="both"/>
              <w:rPr>
                <w:rFonts w:ascii="Times New Roman" w:eastAsia="Calibri" w:hAnsi="Times New Roman" w:cs="Times New Roman"/>
                <w:kern w:val="0"/>
                <w:lang w:val="lt-LT"/>
                <w14:ligatures w14:val="none"/>
              </w:rPr>
            </w:pPr>
            <w:r w:rsidRPr="0072368F">
              <w:rPr>
                <w:rFonts w:ascii="Times New Roman" w:eastAsia="Calibri" w:hAnsi="Times New Roman" w:cs="Times New Roman"/>
                <w:kern w:val="0"/>
                <w:lang w:val="lt-LT"/>
                <w14:ligatures w14:val="none"/>
              </w:rPr>
              <w:t xml:space="preserve">4.3.1. Nepakankama statinių naudojimo pagal paskirtį kontrolė. Detali statinių priežiūros tvarka nustatyta Statybos techniniame reglamente STR 1.03.07:2017 „Statinių techninės ir naudojimo priežiūros tvarka. Naujų nekilnojamojo turto kadastro objektų formavimo tvarka“, tačiau, vadovaujantis minėtos tvarkos reikalavimais, nesudėtingi statiniai neįtraukiami į sudaromus patikrinimų sąrašus (motyvai išdėstyti 3.11 poskyryje). </w:t>
            </w:r>
          </w:p>
          <w:p w14:paraId="22753737" w14:textId="77777777" w:rsidR="00584AAF" w:rsidRPr="0072368F" w:rsidRDefault="00584AAF" w:rsidP="001D73A9">
            <w:pPr>
              <w:jc w:val="both"/>
              <w:rPr>
                <w:rFonts w:ascii="Times New Roman" w:hAnsi="Times New Roman" w:cs="Times New Roman"/>
                <w:lang w:val="lt-LT"/>
              </w:rPr>
            </w:pPr>
          </w:p>
        </w:tc>
        <w:tc>
          <w:tcPr>
            <w:tcW w:w="3402" w:type="dxa"/>
          </w:tcPr>
          <w:p w14:paraId="1BE6C905" w14:textId="59DC17F0" w:rsidR="008C2D3D" w:rsidRPr="0072368F" w:rsidRDefault="008C2D3D" w:rsidP="001D73A9">
            <w:pPr>
              <w:tabs>
                <w:tab w:val="left" w:pos="1560"/>
              </w:tabs>
              <w:contextualSpacing/>
              <w:jc w:val="both"/>
              <w:rPr>
                <w:rFonts w:ascii="Times New Roman" w:eastAsia="Times New Roman" w:hAnsi="Times New Roman" w:cs="Times New Roman"/>
                <w:lang w:val="lt-LT"/>
              </w:rPr>
            </w:pPr>
            <w:r w:rsidRPr="0072368F">
              <w:rPr>
                <w:rFonts w:ascii="Times New Roman" w:eastAsia="Calibri" w:hAnsi="Times New Roman" w:cs="Times New Roman"/>
                <w:lang w:val="lt-LT"/>
              </w:rPr>
              <w:t>5.3.1. Aplinkos ministerijai spręsti dėl nesudėtingų statinių naudojimo priežiūros reglamentavimo tobulinimo, pavyzdžiui, nustatyti pareigą juos įtraukti į sudaromus statinių, kurių naudojimo priežiūra bus atliekama, naudotojų sąrašus; supaprastinti šios priežiūros reikalavimus ir pan.</w:t>
            </w:r>
          </w:p>
          <w:p w14:paraId="05D3F9B9" w14:textId="77777777" w:rsidR="00584AAF" w:rsidRPr="0072368F" w:rsidRDefault="00584AAF" w:rsidP="001D73A9">
            <w:pPr>
              <w:jc w:val="both"/>
              <w:rPr>
                <w:rFonts w:ascii="Times New Roman" w:hAnsi="Times New Roman" w:cs="Times New Roman"/>
                <w:lang w:val="lt-LT"/>
              </w:rPr>
            </w:pPr>
          </w:p>
        </w:tc>
        <w:tc>
          <w:tcPr>
            <w:tcW w:w="5103" w:type="dxa"/>
          </w:tcPr>
          <w:p w14:paraId="3270ED00" w14:textId="402A2798"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Statinių naudojimo priežiūrą vykdo savivaldybių administracijos, Susisiekimo ministerija ir (ar) jos įgaliotos organizacijos, valstybinė Energetikos inspekcija bei statinių įrangos ir paskirties reikalavimų įgyvendinimo priežiūrą atliekančios institucijos, todėl informacijos reiktų kreiptis į šias institucijas.</w:t>
            </w:r>
          </w:p>
          <w:p w14:paraId="203D0B8C" w14:textId="7AF50074"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  Nesudėtingųjų statinių, vieno ir dviejų butų gyvenamųjų namų, taip pat statinių įrašytų į Vyriausybės įgaliotos institucijos patvirtintą sąrašą žemės ūkio paskirties pastatų techninę priežiūrą gali atlikti patys naudotojai, nepaskirdami statinio techninio prižiūrėtojo.</w:t>
            </w:r>
          </w:p>
          <w:p w14:paraId="60F0C14D" w14:textId="71C6C708"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 xml:space="preserve">     Statinio </w:t>
            </w:r>
            <w:r w:rsidR="00C07DB1" w:rsidRPr="0072368F">
              <w:rPr>
                <w:spacing w:val="2"/>
                <w:sz w:val="22"/>
                <w:szCs w:val="22"/>
                <w:lang w:val="lt-LT"/>
              </w:rPr>
              <w:t xml:space="preserve"> techninės </w:t>
            </w:r>
            <w:r w:rsidRPr="0072368F">
              <w:rPr>
                <w:spacing w:val="2"/>
                <w:sz w:val="22"/>
                <w:szCs w:val="22"/>
                <w:lang w:val="lt-LT"/>
              </w:rPr>
              <w:t xml:space="preserve">priežiūros tikslas – užtikrinti Statybos įstatymo bei statybos techninių dokumentų nustatytus statinių esminius reikalavimus per visą statinio ekonomiškai pagrįstą naudojimo trukmę, maksimaliai sumažinti avarijų tikimybę, grėsmę žmonių gyvybei, sveikatai ar aplinkai. Statinio naudojimo priežiūros kontrolė privalo nustatyti, ar </w:t>
            </w:r>
            <w:r w:rsidRPr="0072368F">
              <w:rPr>
                <w:spacing w:val="2"/>
                <w:sz w:val="22"/>
                <w:szCs w:val="22"/>
                <w:lang w:val="lt-LT"/>
              </w:rPr>
              <w:lastRenderedPageBreak/>
              <w:t>statinio techninė priežiūra atitinka Statybos įstatymą bei kitus teisės aktus.</w:t>
            </w:r>
          </w:p>
          <w:p w14:paraId="0F349B74" w14:textId="77777777"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      Vykdytojai atlikdami patikrinimą netrukdomai gali patekti į naudojamą statinį, apžiūrėti jį, gauti su statinio naudojimu ir jo technine priežiūra susijusius dokumentus. Taip pat kartu su statinio techniniu prižiūrėtoju gali patekti į butus ir kitas gyvenamąsias patalpas ir apžiūrėti statinio laikančiąsias konstrukcijas, kai statinio apžiūros akte užfiksuotos neleistinos statinio laikančiųjų konstrukcijų deformacijos arba gautas statinio bendraturčių pagrįstas pranešimas, kad dėl statybos darbų bute ar kitose gyvenamosiose patalpose gali būti susilpnėjęs statinio mechaninis atsparumas ir pastovumas ir dėl to gali kilti statinio griūties grėsmė. Priežiūros vykdytojas gali patekti į butą ir kitas gyvenamąsias patalpas jų naudotojų sutikimu, o atsisakius įsileisti, – pateikęs teismo nutartį dėl leidimo įeiti į butą ir ar kitas gyvenamąsias patalpas. Apie numatytą apžiūros laiką butų ir kitų gyvenamųjų patalpų naudotojams ne vėliau kaip prieš 3 darbo dienas turi pranešti raštu.</w:t>
            </w:r>
          </w:p>
          <w:p w14:paraId="703C5F4B" w14:textId="016B7B46"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     Remiantis Statybos įstatymo 49 str. 3 d. 1 p. nustatyta, kad viešojo administravimo subjektas, atliekantis statinio naudojimo priežiūrą, turi teisę paaiškėjus, kad statinio būklė kelia pavojų statinyje ar arti jo gyvenančių, dirbančių ar kitais tikslais būnančių žmonių sveikatai, gyvybei ar aplinkai, atsižvelgdamas į grėsmės pobūdį, pareikalauti, kad statinio naudotojas imtųsi priemonių žmonėms apsaugoti, jeigu būtina, pareikalauti, kad būtų organizuota jų evakuacija, sustabdytas statinio naudojimas, uždrausta bet kokia veikla statinyje (jeigu reikia – ir statinio sklype ar teritorijoje).</w:t>
            </w:r>
          </w:p>
          <w:p w14:paraId="5720BC40" w14:textId="42639E63" w:rsidR="001D73A9" w:rsidRPr="0072368F" w:rsidRDefault="001D73A9" w:rsidP="001D73A9">
            <w:pPr>
              <w:pStyle w:val="NormalWeb"/>
              <w:shd w:val="clear" w:color="auto" w:fill="FFFFFF"/>
              <w:spacing w:before="0" w:beforeAutospacing="0" w:after="0" w:afterAutospacing="0"/>
              <w:jc w:val="both"/>
              <w:rPr>
                <w:spacing w:val="2"/>
                <w:sz w:val="22"/>
                <w:szCs w:val="22"/>
                <w:lang w:val="lt-LT"/>
              </w:rPr>
            </w:pPr>
            <w:r w:rsidRPr="0072368F">
              <w:rPr>
                <w:spacing w:val="2"/>
                <w:sz w:val="22"/>
                <w:szCs w:val="22"/>
                <w:lang w:val="lt-LT"/>
              </w:rPr>
              <w:t xml:space="preserve">     Pažymime, kad savivaldybių administracijos gali skirti baudas, už statinio (jo patalpų) naudojimą pažeidžiant reikalavimus ar naudojimą ne pagal paskirtį. Pagal Lietuvos Respublikos administracinių nusižengimų kodekso 359 straipsnį, bauda skiriama </w:t>
            </w:r>
            <w:r w:rsidRPr="0072368F">
              <w:rPr>
                <w:spacing w:val="2"/>
                <w:sz w:val="22"/>
                <w:szCs w:val="22"/>
                <w:lang w:val="lt-LT"/>
              </w:rPr>
              <w:lastRenderedPageBreak/>
              <w:t>nuo 140 iki 1500 eurų. Pakartotinai padarius nusižengimą bauda prasideda nuo 200 iki 3 000 eurų.</w:t>
            </w:r>
          </w:p>
          <w:p w14:paraId="301FDF49" w14:textId="08072A50" w:rsidR="003A16A4" w:rsidRPr="0072368F" w:rsidRDefault="00C07DB1" w:rsidP="009372F1">
            <w:pPr>
              <w:pStyle w:val="NormalWeb"/>
              <w:shd w:val="clear" w:color="auto" w:fill="FFFFFF"/>
              <w:spacing w:before="0" w:beforeAutospacing="0" w:after="0" w:afterAutospacing="0"/>
              <w:jc w:val="both"/>
              <w:rPr>
                <w:lang w:val="lt-LT"/>
              </w:rPr>
            </w:pPr>
            <w:r w:rsidRPr="0072368F">
              <w:rPr>
                <w:spacing w:val="2"/>
                <w:sz w:val="22"/>
                <w:szCs w:val="22"/>
                <w:lang w:val="lt-LT"/>
              </w:rPr>
              <w:t xml:space="preserve">Manytina, kad teisinis reglamentavimas šioje srityje pakankamas. </w:t>
            </w:r>
          </w:p>
        </w:tc>
        <w:tc>
          <w:tcPr>
            <w:tcW w:w="1843" w:type="dxa"/>
          </w:tcPr>
          <w:p w14:paraId="51C5CC62" w14:textId="17E0AFBD" w:rsidR="00584AAF" w:rsidRPr="0072368F" w:rsidRDefault="00584AAF" w:rsidP="001D73A9">
            <w:pPr>
              <w:jc w:val="both"/>
              <w:rPr>
                <w:rFonts w:ascii="Times New Roman" w:hAnsi="Times New Roman" w:cs="Times New Roman"/>
                <w:lang w:val="lt-LT"/>
              </w:rPr>
            </w:pPr>
          </w:p>
        </w:tc>
      </w:tr>
    </w:tbl>
    <w:p w14:paraId="15B8BB6D" w14:textId="77777777" w:rsidR="009C48E7" w:rsidRPr="0072368F" w:rsidRDefault="009C48E7" w:rsidP="001D73A9">
      <w:pPr>
        <w:spacing w:after="0" w:line="240" w:lineRule="auto"/>
        <w:jc w:val="both"/>
        <w:rPr>
          <w:rFonts w:ascii="Times New Roman" w:hAnsi="Times New Roman" w:cs="Times New Roman"/>
          <w:lang w:val="lt-LT"/>
        </w:rPr>
      </w:pPr>
    </w:p>
    <w:sectPr w:rsidR="009C48E7" w:rsidRPr="0072368F" w:rsidSect="009C48E7">
      <w:headerReference w:type="default" r:id="rId10"/>
      <w:pgSz w:w="16838" w:h="11906"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C719" w14:textId="77777777" w:rsidR="00256E63" w:rsidRDefault="00256E63" w:rsidP="00256E63">
      <w:pPr>
        <w:spacing w:after="0" w:line="240" w:lineRule="auto"/>
      </w:pPr>
      <w:r>
        <w:separator/>
      </w:r>
    </w:p>
  </w:endnote>
  <w:endnote w:type="continuationSeparator" w:id="0">
    <w:p w14:paraId="57C73592" w14:textId="77777777" w:rsidR="00256E63" w:rsidRDefault="00256E63" w:rsidP="0025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04F2" w14:textId="77777777" w:rsidR="00256E63" w:rsidRDefault="00256E63" w:rsidP="00256E63">
      <w:pPr>
        <w:spacing w:after="0" w:line="240" w:lineRule="auto"/>
      </w:pPr>
      <w:r>
        <w:separator/>
      </w:r>
    </w:p>
  </w:footnote>
  <w:footnote w:type="continuationSeparator" w:id="0">
    <w:p w14:paraId="1CD66345" w14:textId="77777777" w:rsidR="00256E63" w:rsidRDefault="00256E63" w:rsidP="00256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1832"/>
      <w:docPartObj>
        <w:docPartGallery w:val="Page Numbers (Top of Page)"/>
        <w:docPartUnique/>
      </w:docPartObj>
    </w:sdtPr>
    <w:sdtEndPr/>
    <w:sdtContent>
      <w:p w14:paraId="3D003BA4" w14:textId="4EAC9271" w:rsidR="00256E63" w:rsidRDefault="00256E63">
        <w:pPr>
          <w:pStyle w:val="Header"/>
          <w:jc w:val="center"/>
        </w:pPr>
        <w:r>
          <w:fldChar w:fldCharType="begin"/>
        </w:r>
        <w:r>
          <w:instrText>PAGE   \* MERGEFORMAT</w:instrText>
        </w:r>
        <w:r>
          <w:fldChar w:fldCharType="separate"/>
        </w:r>
        <w:r w:rsidR="00E941BD" w:rsidRPr="00E941BD">
          <w:rPr>
            <w:noProof/>
            <w:lang w:val="lt-LT"/>
          </w:rPr>
          <w:t>1</w:t>
        </w:r>
        <w:r>
          <w:fldChar w:fldCharType="end"/>
        </w:r>
      </w:p>
    </w:sdtContent>
  </w:sdt>
  <w:p w14:paraId="6A95DC6E" w14:textId="77777777" w:rsidR="00256E63" w:rsidRDefault="00256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0B4B"/>
    <w:multiLevelType w:val="hybridMultilevel"/>
    <w:tmpl w:val="4014D326"/>
    <w:lvl w:ilvl="0" w:tplc="AE8E1AA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7131D"/>
    <w:multiLevelType w:val="multilevel"/>
    <w:tmpl w:val="913AF1C0"/>
    <w:lvl w:ilvl="0">
      <w:start w:val="1"/>
      <w:numFmt w:val="decimal"/>
      <w:lvlText w:val="%1."/>
      <w:lvlJc w:val="left"/>
      <w:pPr>
        <w:ind w:left="1170" w:hanging="360"/>
      </w:pPr>
    </w:lvl>
    <w:lvl w:ilvl="1">
      <w:start w:val="2"/>
      <w:numFmt w:val="decimal"/>
      <w:isLgl/>
      <w:lvlText w:val="%1.%2."/>
      <w:lvlJc w:val="left"/>
      <w:pPr>
        <w:ind w:left="1211" w:hanging="360"/>
      </w:pPr>
      <w:rPr>
        <w:rFonts w:cs="Times New Roman"/>
        <w:b w:val="0"/>
        <w:i w:val="0"/>
      </w:rPr>
    </w:lvl>
    <w:lvl w:ilvl="2">
      <w:start w:val="1"/>
      <w:numFmt w:val="decimal"/>
      <w:isLgl/>
      <w:lvlText w:val="%1.%2.%3."/>
      <w:lvlJc w:val="left"/>
      <w:pPr>
        <w:ind w:left="1612" w:hanging="720"/>
      </w:pPr>
      <w:rPr>
        <w:rFonts w:cs="Times New Roman"/>
        <w:b w:val="0"/>
        <w:i w:val="0"/>
      </w:rPr>
    </w:lvl>
    <w:lvl w:ilvl="3">
      <w:start w:val="1"/>
      <w:numFmt w:val="decimal"/>
      <w:isLgl/>
      <w:lvlText w:val="%1.%2.%3.%4."/>
      <w:lvlJc w:val="left"/>
      <w:pPr>
        <w:ind w:left="1653" w:hanging="720"/>
      </w:pPr>
      <w:rPr>
        <w:rFonts w:cs="Times New Roman"/>
        <w:b w:val="0"/>
        <w:i w:val="0"/>
      </w:rPr>
    </w:lvl>
    <w:lvl w:ilvl="4">
      <w:start w:val="1"/>
      <w:numFmt w:val="decimal"/>
      <w:isLgl/>
      <w:lvlText w:val="%1.%2.%3.%4.%5."/>
      <w:lvlJc w:val="left"/>
      <w:pPr>
        <w:ind w:left="2054" w:hanging="1080"/>
      </w:pPr>
      <w:rPr>
        <w:rFonts w:cs="Times New Roman"/>
        <w:b/>
        <w:i/>
      </w:rPr>
    </w:lvl>
    <w:lvl w:ilvl="5">
      <w:start w:val="1"/>
      <w:numFmt w:val="decimal"/>
      <w:isLgl/>
      <w:lvlText w:val="%1.%2.%3.%4.%5.%6."/>
      <w:lvlJc w:val="left"/>
      <w:pPr>
        <w:ind w:left="2095" w:hanging="1080"/>
      </w:pPr>
      <w:rPr>
        <w:rFonts w:cs="Times New Roman"/>
        <w:b/>
        <w:i/>
      </w:rPr>
    </w:lvl>
    <w:lvl w:ilvl="6">
      <w:start w:val="1"/>
      <w:numFmt w:val="decimal"/>
      <w:isLgl/>
      <w:lvlText w:val="%1.%2.%3.%4.%5.%6.%7."/>
      <w:lvlJc w:val="left"/>
      <w:pPr>
        <w:ind w:left="2496" w:hanging="1440"/>
      </w:pPr>
      <w:rPr>
        <w:rFonts w:cs="Times New Roman"/>
        <w:b/>
        <w:i/>
      </w:rPr>
    </w:lvl>
    <w:lvl w:ilvl="7">
      <w:start w:val="1"/>
      <w:numFmt w:val="decimal"/>
      <w:isLgl/>
      <w:lvlText w:val="%1.%2.%3.%4.%5.%6.%7.%8."/>
      <w:lvlJc w:val="left"/>
      <w:pPr>
        <w:ind w:left="2537" w:hanging="1440"/>
      </w:pPr>
      <w:rPr>
        <w:rFonts w:cs="Times New Roman"/>
        <w:b/>
        <w:i/>
      </w:rPr>
    </w:lvl>
    <w:lvl w:ilvl="8">
      <w:start w:val="1"/>
      <w:numFmt w:val="decimal"/>
      <w:isLgl/>
      <w:lvlText w:val="%1.%2.%3.%4.%5.%6.%7.%8.%9."/>
      <w:lvlJc w:val="left"/>
      <w:pPr>
        <w:ind w:left="2938" w:hanging="1800"/>
      </w:pPr>
      <w:rPr>
        <w:rFonts w:cs="Times New Roman"/>
        <w:b/>
        <w:i/>
      </w:rPr>
    </w:lvl>
  </w:abstractNum>
  <w:num w:numId="1" w16cid:durableId="1593513232">
    <w:abstractNumId w:val="0"/>
  </w:num>
  <w:num w:numId="2" w16cid:durableId="850098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E7"/>
    <w:rsid w:val="00050674"/>
    <w:rsid w:val="000C5041"/>
    <w:rsid w:val="00140AC6"/>
    <w:rsid w:val="001C340D"/>
    <w:rsid w:val="001D73A9"/>
    <w:rsid w:val="00256E63"/>
    <w:rsid w:val="002A7BFD"/>
    <w:rsid w:val="003A16A4"/>
    <w:rsid w:val="003D651B"/>
    <w:rsid w:val="0040227B"/>
    <w:rsid w:val="00403CBC"/>
    <w:rsid w:val="00431609"/>
    <w:rsid w:val="00452843"/>
    <w:rsid w:val="00472F86"/>
    <w:rsid w:val="004C257E"/>
    <w:rsid w:val="004C4592"/>
    <w:rsid w:val="00546CFC"/>
    <w:rsid w:val="00553D0F"/>
    <w:rsid w:val="00584AAF"/>
    <w:rsid w:val="005900EE"/>
    <w:rsid w:val="00697178"/>
    <w:rsid w:val="0072368F"/>
    <w:rsid w:val="007E6E03"/>
    <w:rsid w:val="00802293"/>
    <w:rsid w:val="00883D75"/>
    <w:rsid w:val="008C2D3D"/>
    <w:rsid w:val="008C4D58"/>
    <w:rsid w:val="009372F1"/>
    <w:rsid w:val="00951974"/>
    <w:rsid w:val="0099509A"/>
    <w:rsid w:val="009C48E7"/>
    <w:rsid w:val="00A01DD8"/>
    <w:rsid w:val="00A052ED"/>
    <w:rsid w:val="00A1071A"/>
    <w:rsid w:val="00A56B6E"/>
    <w:rsid w:val="00AB7907"/>
    <w:rsid w:val="00B05040"/>
    <w:rsid w:val="00B36977"/>
    <w:rsid w:val="00B60FE6"/>
    <w:rsid w:val="00C0715F"/>
    <w:rsid w:val="00C07DB1"/>
    <w:rsid w:val="00C44F14"/>
    <w:rsid w:val="00C73625"/>
    <w:rsid w:val="00CE2349"/>
    <w:rsid w:val="00DC2F76"/>
    <w:rsid w:val="00E941BD"/>
    <w:rsid w:val="00EF185F"/>
    <w:rsid w:val="00F35F65"/>
    <w:rsid w:val="00F76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8583FF"/>
  <w15:docId w15:val="{777ECFC4-5311-493C-A710-06F0DD13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65"/>
  </w:style>
  <w:style w:type="paragraph" w:styleId="Heading1">
    <w:name w:val="heading 1"/>
    <w:basedOn w:val="Normal"/>
    <w:next w:val="Normal"/>
    <w:link w:val="Heading1Char"/>
    <w:uiPriority w:val="9"/>
    <w:qFormat/>
    <w:rsid w:val="00F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6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C4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8E7"/>
    <w:pPr>
      <w:ind w:left="720"/>
      <w:contextualSpacing/>
    </w:pPr>
  </w:style>
  <w:style w:type="paragraph" w:styleId="NormalWeb">
    <w:name w:val="Normal (Web)"/>
    <w:basedOn w:val="Normal"/>
    <w:uiPriority w:val="99"/>
    <w:unhideWhenUsed/>
    <w:rsid w:val="000506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31609"/>
    <w:rPr>
      <w:color w:val="0000FF"/>
      <w:u w:val="single"/>
    </w:rPr>
  </w:style>
  <w:style w:type="paragraph" w:styleId="Header">
    <w:name w:val="header"/>
    <w:basedOn w:val="Normal"/>
    <w:link w:val="HeaderChar"/>
    <w:uiPriority w:val="99"/>
    <w:unhideWhenUsed/>
    <w:rsid w:val="00256E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E63"/>
  </w:style>
  <w:style w:type="paragraph" w:styleId="Footer">
    <w:name w:val="footer"/>
    <w:basedOn w:val="Normal"/>
    <w:link w:val="FooterChar"/>
    <w:uiPriority w:val="99"/>
    <w:unhideWhenUsed/>
    <w:rsid w:val="00256E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E63"/>
  </w:style>
  <w:style w:type="paragraph" w:styleId="BalloonText">
    <w:name w:val="Balloon Text"/>
    <w:basedOn w:val="Normal"/>
    <w:link w:val="BalloonTextChar"/>
    <w:uiPriority w:val="99"/>
    <w:semiHidden/>
    <w:unhideWhenUsed/>
    <w:rsid w:val="000C5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041"/>
    <w:rPr>
      <w:rFonts w:ascii="Tahoma" w:hAnsi="Tahoma" w:cs="Tahoma"/>
      <w:sz w:val="16"/>
      <w:szCs w:val="16"/>
    </w:rPr>
  </w:style>
  <w:style w:type="paragraph" w:styleId="Revision">
    <w:name w:val="Revision"/>
    <w:hidden/>
    <w:uiPriority w:val="99"/>
    <w:semiHidden/>
    <w:rsid w:val="00553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0934">
      <w:bodyDiv w:val="1"/>
      <w:marLeft w:val="0"/>
      <w:marRight w:val="0"/>
      <w:marTop w:val="0"/>
      <w:marBottom w:val="0"/>
      <w:divBdr>
        <w:top w:val="none" w:sz="0" w:space="0" w:color="auto"/>
        <w:left w:val="none" w:sz="0" w:space="0" w:color="auto"/>
        <w:bottom w:val="none" w:sz="0" w:space="0" w:color="auto"/>
        <w:right w:val="none" w:sz="0" w:space="0" w:color="auto"/>
      </w:divBdr>
    </w:div>
    <w:div w:id="255947472">
      <w:bodyDiv w:val="1"/>
      <w:marLeft w:val="0"/>
      <w:marRight w:val="0"/>
      <w:marTop w:val="0"/>
      <w:marBottom w:val="0"/>
      <w:divBdr>
        <w:top w:val="none" w:sz="0" w:space="0" w:color="auto"/>
        <w:left w:val="none" w:sz="0" w:space="0" w:color="auto"/>
        <w:bottom w:val="none" w:sz="0" w:space="0" w:color="auto"/>
        <w:right w:val="none" w:sz="0" w:space="0" w:color="auto"/>
      </w:divBdr>
    </w:div>
    <w:div w:id="503278004">
      <w:bodyDiv w:val="1"/>
      <w:marLeft w:val="0"/>
      <w:marRight w:val="0"/>
      <w:marTop w:val="0"/>
      <w:marBottom w:val="0"/>
      <w:divBdr>
        <w:top w:val="none" w:sz="0" w:space="0" w:color="auto"/>
        <w:left w:val="none" w:sz="0" w:space="0" w:color="auto"/>
        <w:bottom w:val="none" w:sz="0" w:space="0" w:color="auto"/>
        <w:right w:val="none" w:sz="0" w:space="0" w:color="auto"/>
      </w:divBdr>
    </w:div>
    <w:div w:id="748693712">
      <w:bodyDiv w:val="1"/>
      <w:marLeft w:val="0"/>
      <w:marRight w:val="0"/>
      <w:marTop w:val="0"/>
      <w:marBottom w:val="0"/>
      <w:divBdr>
        <w:top w:val="none" w:sz="0" w:space="0" w:color="auto"/>
        <w:left w:val="none" w:sz="0" w:space="0" w:color="auto"/>
        <w:bottom w:val="none" w:sz="0" w:space="0" w:color="auto"/>
        <w:right w:val="none" w:sz="0" w:space="0" w:color="auto"/>
      </w:divBdr>
    </w:div>
    <w:div w:id="780105123">
      <w:bodyDiv w:val="1"/>
      <w:marLeft w:val="0"/>
      <w:marRight w:val="0"/>
      <w:marTop w:val="0"/>
      <w:marBottom w:val="0"/>
      <w:divBdr>
        <w:top w:val="none" w:sz="0" w:space="0" w:color="auto"/>
        <w:left w:val="none" w:sz="0" w:space="0" w:color="auto"/>
        <w:bottom w:val="none" w:sz="0" w:space="0" w:color="auto"/>
        <w:right w:val="none" w:sz="0" w:space="0" w:color="auto"/>
      </w:divBdr>
    </w:div>
    <w:div w:id="927733672">
      <w:bodyDiv w:val="1"/>
      <w:marLeft w:val="0"/>
      <w:marRight w:val="0"/>
      <w:marTop w:val="0"/>
      <w:marBottom w:val="0"/>
      <w:divBdr>
        <w:top w:val="none" w:sz="0" w:space="0" w:color="auto"/>
        <w:left w:val="none" w:sz="0" w:space="0" w:color="auto"/>
        <w:bottom w:val="none" w:sz="0" w:space="0" w:color="auto"/>
        <w:right w:val="none" w:sz="0" w:space="0" w:color="auto"/>
      </w:divBdr>
    </w:div>
    <w:div w:id="1259101412">
      <w:bodyDiv w:val="1"/>
      <w:marLeft w:val="0"/>
      <w:marRight w:val="0"/>
      <w:marTop w:val="0"/>
      <w:marBottom w:val="0"/>
      <w:divBdr>
        <w:top w:val="none" w:sz="0" w:space="0" w:color="auto"/>
        <w:left w:val="none" w:sz="0" w:space="0" w:color="auto"/>
        <w:bottom w:val="none" w:sz="0" w:space="0" w:color="auto"/>
        <w:right w:val="none" w:sz="0" w:space="0" w:color="auto"/>
      </w:divBdr>
    </w:div>
    <w:div w:id="1315448594">
      <w:bodyDiv w:val="1"/>
      <w:marLeft w:val="0"/>
      <w:marRight w:val="0"/>
      <w:marTop w:val="0"/>
      <w:marBottom w:val="0"/>
      <w:divBdr>
        <w:top w:val="none" w:sz="0" w:space="0" w:color="auto"/>
        <w:left w:val="none" w:sz="0" w:space="0" w:color="auto"/>
        <w:bottom w:val="none" w:sz="0" w:space="0" w:color="auto"/>
        <w:right w:val="none" w:sz="0" w:space="0" w:color="auto"/>
      </w:divBdr>
    </w:div>
    <w:div w:id="1558739674">
      <w:bodyDiv w:val="1"/>
      <w:marLeft w:val="0"/>
      <w:marRight w:val="0"/>
      <w:marTop w:val="0"/>
      <w:marBottom w:val="0"/>
      <w:divBdr>
        <w:top w:val="none" w:sz="0" w:space="0" w:color="auto"/>
        <w:left w:val="none" w:sz="0" w:space="0" w:color="auto"/>
        <w:bottom w:val="none" w:sz="0" w:space="0" w:color="auto"/>
        <w:right w:val="none" w:sz="0" w:space="0" w:color="auto"/>
      </w:divBdr>
    </w:div>
    <w:div w:id="1612936207">
      <w:bodyDiv w:val="1"/>
      <w:marLeft w:val="0"/>
      <w:marRight w:val="0"/>
      <w:marTop w:val="0"/>
      <w:marBottom w:val="0"/>
      <w:divBdr>
        <w:top w:val="none" w:sz="0" w:space="0" w:color="auto"/>
        <w:left w:val="none" w:sz="0" w:space="0" w:color="auto"/>
        <w:bottom w:val="none" w:sz="0" w:space="0" w:color="auto"/>
        <w:right w:val="none" w:sz="0" w:space="0" w:color="auto"/>
      </w:divBdr>
    </w:div>
    <w:div w:id="1666319313">
      <w:bodyDiv w:val="1"/>
      <w:marLeft w:val="0"/>
      <w:marRight w:val="0"/>
      <w:marTop w:val="0"/>
      <w:marBottom w:val="0"/>
      <w:divBdr>
        <w:top w:val="none" w:sz="0" w:space="0" w:color="auto"/>
        <w:left w:val="none" w:sz="0" w:space="0" w:color="auto"/>
        <w:bottom w:val="none" w:sz="0" w:space="0" w:color="auto"/>
        <w:right w:val="none" w:sz="0" w:space="0" w:color="auto"/>
      </w:divBdr>
    </w:div>
    <w:div w:id="1700543997">
      <w:bodyDiv w:val="1"/>
      <w:marLeft w:val="0"/>
      <w:marRight w:val="0"/>
      <w:marTop w:val="0"/>
      <w:marBottom w:val="0"/>
      <w:divBdr>
        <w:top w:val="none" w:sz="0" w:space="0" w:color="auto"/>
        <w:left w:val="none" w:sz="0" w:space="0" w:color="auto"/>
        <w:bottom w:val="none" w:sz="0" w:space="0" w:color="auto"/>
        <w:right w:val="none" w:sz="0" w:space="0" w:color="auto"/>
      </w:divBdr>
    </w:div>
    <w:div w:id="1808162694">
      <w:bodyDiv w:val="1"/>
      <w:marLeft w:val="0"/>
      <w:marRight w:val="0"/>
      <w:marTop w:val="0"/>
      <w:marBottom w:val="0"/>
      <w:divBdr>
        <w:top w:val="none" w:sz="0" w:space="0" w:color="auto"/>
        <w:left w:val="none" w:sz="0" w:space="0" w:color="auto"/>
        <w:bottom w:val="none" w:sz="0" w:space="0" w:color="auto"/>
        <w:right w:val="none" w:sz="0" w:space="0" w:color="auto"/>
      </w:divBdr>
    </w:div>
    <w:div w:id="1976327797">
      <w:bodyDiv w:val="1"/>
      <w:marLeft w:val="0"/>
      <w:marRight w:val="0"/>
      <w:marTop w:val="0"/>
      <w:marBottom w:val="0"/>
      <w:divBdr>
        <w:top w:val="none" w:sz="0" w:space="0" w:color="auto"/>
        <w:left w:val="none" w:sz="0" w:space="0" w:color="auto"/>
        <w:bottom w:val="none" w:sz="0" w:space="0" w:color="auto"/>
        <w:right w:val="none" w:sz="0" w:space="0" w:color="auto"/>
      </w:divBdr>
    </w:div>
    <w:div w:id="20720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e5ed3bc0673911ed8a47de53ff967b64?positionInSearchResults=0&amp;searchModelUUID=835d65b9-503a-4cfb-a466-6bb247af391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6IcAnn-DDvw"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4DA8-435C-43B8-9112-E28D57C2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1682</Words>
  <Characters>9590</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 Kriaučiukaitė</dc:creator>
  <cp:lastModifiedBy>Rūta Markauskienė</cp:lastModifiedBy>
  <cp:revision>3</cp:revision>
  <dcterms:created xsi:type="dcterms:W3CDTF">2024-02-06T07:12:00Z</dcterms:created>
  <dcterms:modified xsi:type="dcterms:W3CDTF">2024-02-06T07:13:00Z</dcterms:modified>
</cp:coreProperties>
</file>