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77777777" w:rsidR="006F7359" w:rsidRDefault="006F7359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967C045" wp14:editId="4C480E5A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63B" w14:textId="77777777" w:rsidR="0065731E" w:rsidRDefault="0065731E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44ACAC2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65731E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65731E">
        <w:rPr>
          <w:b/>
          <w:color w:val="000000"/>
          <w:szCs w:val="24"/>
          <w:lang w:eastAsia="lt-LT"/>
        </w:rPr>
        <w:t>ĮSAKYMAS</w:t>
      </w:r>
    </w:p>
    <w:p w14:paraId="5954B30C" w14:textId="35DD24BF" w:rsidR="00C27C16" w:rsidRPr="0065731E" w:rsidRDefault="00E576A7" w:rsidP="00E576A7">
      <w:pPr>
        <w:widowControl w:val="0"/>
        <w:suppressAutoHyphens/>
        <w:spacing w:line="276" w:lineRule="auto"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 w:rsidRPr="0065731E">
        <w:rPr>
          <w:b/>
          <w:color w:val="000000"/>
          <w:szCs w:val="24"/>
          <w:lang w:eastAsia="lt-LT"/>
        </w:rPr>
        <w:t>DĖL LIETUVOS RESPUBLIKOS APLINKOS MINISTRO 2023 M. GRUODŽIO 29 D. ĮSAKYMO NR. V-192 „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C27C16" w:rsidRPr="0065731E">
        <w:rPr>
          <w:b/>
          <w:szCs w:val="24"/>
        </w:rPr>
        <w:t xml:space="preserve">ATLIEKŲ PREVENCIJOS IR TVARKYMO PROGRAMOS LĖŠŲ 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PASKIRSTYMO PRIEMONIŲ PLANO 2024</w:t>
      </w:r>
      <w:r w:rsidR="00C27C16" w:rsidRPr="0065731E">
        <w:rPr>
          <w:rFonts w:eastAsia="Calibri"/>
          <w:b/>
          <w:szCs w:val="24"/>
        </w:rPr>
        <w:t>–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2025 METAMS PATVIRTINIMO</w:t>
      </w:r>
    </w:p>
    <w:p w14:paraId="7D4377D0" w14:textId="252ED141" w:rsidR="00E576A7" w:rsidRPr="00017438" w:rsidRDefault="00E576A7" w:rsidP="00E576A7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zCs w:val="24"/>
          <w:lang w:eastAsia="lt-LT"/>
        </w:rPr>
      </w:pPr>
      <w:r w:rsidRPr="0065731E">
        <w:rPr>
          <w:b/>
          <w:color w:val="000000"/>
          <w:szCs w:val="24"/>
          <w:lang w:eastAsia="lt-LT"/>
        </w:rPr>
        <w:t>PAKEITIMO</w:t>
      </w:r>
      <w:r w:rsidRPr="00017438">
        <w:rPr>
          <w:b/>
          <w:color w:val="000000"/>
          <w:szCs w:val="24"/>
          <w:lang w:eastAsia="lt-LT"/>
        </w:rPr>
        <w:t xml:space="preserve"> 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67B4A15A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>
        <w:rPr>
          <w:color w:val="000000"/>
          <w:szCs w:val="24"/>
          <w:lang w:eastAsia="lt-LT"/>
        </w:rPr>
        <w:t xml:space="preserve"> </w:t>
      </w:r>
      <w:r w:rsidR="00CD57CB">
        <w:rPr>
          <w:color w:val="000000"/>
          <w:szCs w:val="24"/>
          <w:lang w:eastAsia="lt-LT"/>
        </w:rPr>
        <w:t xml:space="preserve">gegužės </w:t>
      </w:r>
      <w:r w:rsidR="006373B7">
        <w:rPr>
          <w:color w:val="000000"/>
          <w:szCs w:val="24"/>
          <w:lang w:eastAsia="lt-LT"/>
        </w:rPr>
        <w:t>9</w:t>
      </w:r>
      <w:r w:rsidR="00E576A7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6373B7">
        <w:rPr>
          <w:color w:val="000000"/>
          <w:szCs w:val="24"/>
          <w:lang w:eastAsia="lt-LT"/>
        </w:rPr>
        <w:t>61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65731E">
      <w:pPr>
        <w:spacing w:after="160" w:line="276" w:lineRule="auto"/>
        <w:ind w:firstLine="567"/>
        <w:jc w:val="both"/>
      </w:pPr>
      <w:r w:rsidRPr="0065731E">
        <w:t xml:space="preserve">P a k e i č i u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t xml:space="preserve">, patvirtintą Lietuvos Respublikos aplinkos ministro 2023 m. gruodžio 29 d. įsakymu Nr. V-192 „Dėl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plano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65731E">
        <w:t>patvirtinimo“, ir jį išdėstau nauja redakcija (pridedama).</w:t>
      </w:r>
    </w:p>
    <w:p w14:paraId="7AB0768E" w14:textId="77777777" w:rsidR="00E576A7" w:rsidRDefault="00E576A7" w:rsidP="00E576A7">
      <w:pPr>
        <w:spacing w:after="160" w:line="259" w:lineRule="auto"/>
        <w:ind w:firstLine="567"/>
        <w:rPr>
          <w:rFonts w:eastAsia="Andale Sans UI"/>
          <w:szCs w:val="24"/>
          <w:highlight w:val="yellow"/>
          <w:lang w:bidi="en-US"/>
        </w:rPr>
      </w:pPr>
    </w:p>
    <w:p w14:paraId="5C19DFC8" w14:textId="7B2A1B11" w:rsidR="00913965" w:rsidRDefault="003E3775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  <w:r w:rsidRPr="003E3775">
        <w:rPr>
          <w:rFonts w:eastAsia="Andale Sans UI"/>
          <w:szCs w:val="24"/>
          <w:lang w:bidi="en-US"/>
        </w:rPr>
        <w:t>Aplinkos ministras</w:t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  <w:t>Simonas Gentvilas</w:t>
      </w:r>
    </w:p>
    <w:p w14:paraId="195D67F8" w14:textId="2F6A5442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39B1D873" w14:textId="77777777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  <w:sectPr w:rsidR="006D7937" w:rsidSect="004D4C87">
          <w:headerReference w:type="default" r:id="rId12"/>
          <w:headerReference w:type="first" r:id="rId13"/>
          <w:pgSz w:w="11906" w:h="16838"/>
          <w:pgMar w:top="1276" w:right="567" w:bottom="1134" w:left="1701" w:header="567" w:footer="567" w:gutter="0"/>
          <w:cols w:space="1296"/>
          <w:titlePg/>
          <w:docGrid w:linePitch="360"/>
        </w:sectPr>
      </w:pPr>
    </w:p>
    <w:p w14:paraId="445D1DC8" w14:textId="1D1E1B5A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367DFDC0" w:rsidR="008A3393" w:rsidRDefault="004D4C87" w:rsidP="004D4C87">
      <w:pPr>
        <w:tabs>
          <w:tab w:val="left" w:pos="10632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65731E" w:rsidRPr="001F57A2">
        <w:rPr>
          <w:szCs w:val="24"/>
        </w:rPr>
        <w:t>202</w:t>
      </w:r>
      <w:r w:rsidR="0065731E">
        <w:rPr>
          <w:szCs w:val="24"/>
        </w:rPr>
        <w:t>3</w:t>
      </w:r>
      <w:r w:rsidR="0065731E" w:rsidRPr="001F57A2">
        <w:rPr>
          <w:szCs w:val="24"/>
        </w:rPr>
        <w:t xml:space="preserve"> </w:t>
      </w:r>
      <w:r w:rsidR="008A3393" w:rsidRPr="001F57A2">
        <w:rPr>
          <w:szCs w:val="24"/>
        </w:rPr>
        <w:t xml:space="preserve">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 w:rsidR="008A3393"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 w:rsidR="008A3393"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D304E0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b/>
                <w:bCs/>
                <w:szCs w:val="24"/>
                <w:lang w:eastAsia="lt-LT"/>
              </w:rPr>
              <w:t>E</w:t>
            </w:r>
            <w:r w:rsidRPr="00595D89">
              <w:rPr>
                <w:b/>
                <w:bCs/>
                <w:szCs w:val="24"/>
                <w:lang w:eastAsia="lt-LT"/>
              </w:rPr>
              <w:t>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2024</w:t>
            </w:r>
            <w:r w:rsidRPr="00595D89">
              <w:rPr>
                <w:b/>
                <w:bCs/>
                <w:szCs w:val="24"/>
                <w:lang w:eastAsia="lt-LT"/>
              </w:rPr>
              <w:t xml:space="preserve">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2025</w:t>
            </w:r>
            <w:r w:rsidRPr="00595D89">
              <w:rPr>
                <w:b/>
                <w:bCs/>
                <w:szCs w:val="24"/>
                <w:lang w:eastAsia="lt-LT"/>
              </w:rPr>
              <w:t>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Atliekų </w:t>
            </w:r>
            <w:r w:rsidR="00595D89" w:rsidRPr="00012DD1">
              <w:rPr>
                <w:b/>
                <w:bCs/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CFB2D94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195 000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004B13">
              <w:rPr>
                <w:color w:val="000000"/>
                <w:szCs w:val="24"/>
              </w:rPr>
              <w:t>palaiky</w:t>
            </w:r>
            <w:r w:rsidR="00B64A0C">
              <w:rPr>
                <w:color w:val="000000"/>
                <w:szCs w:val="24"/>
              </w:rPr>
              <w:t>ti</w:t>
            </w:r>
            <w:r w:rsidR="001F57A2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 xml:space="preserve">ir </w:t>
            </w:r>
            <w:r w:rsidR="00B64A0C" w:rsidRPr="00004B13">
              <w:rPr>
                <w:color w:val="000000"/>
                <w:szCs w:val="24"/>
              </w:rPr>
              <w:t>vysty</w:t>
            </w:r>
            <w:r w:rsidR="00B64A0C">
              <w:rPr>
                <w:color w:val="000000"/>
                <w:szCs w:val="24"/>
              </w:rPr>
              <w:t>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="00004B13"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B8CC0E7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1ED7D3F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0AC8764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D304E0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Dotacijos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45CB99A6" w:rsidR="00595D89" w:rsidRPr="00012DD1" w:rsidRDefault="00C53F76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D304E0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3AC2DA2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</w:t>
            </w:r>
            <w:r w:rsidR="00004B13" w:rsidRPr="00004B13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7603974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</w:tcPr>
          <w:p w14:paraId="022278E9" w14:textId="7777777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012DD1">
              <w:rPr>
                <w:b/>
                <w:bCs/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012DD1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isuomenės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švietimas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ir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informavimas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05B0FE73" w:rsidR="00595D89" w:rsidRPr="00012DD1" w:rsidRDefault="00CD57CB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59 </w:t>
            </w:r>
            <w:r w:rsidR="00C53F76"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14263088" w14:textId="77777777" w:rsidR="00595D89" w:rsidRPr="00595D89" w:rsidRDefault="00595D89" w:rsidP="0065731E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2F939FD5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004B13" w:rsidRPr="00004B13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004B13" w:rsidRDefault="00004B13" w:rsidP="0065731E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004B13" w:rsidRDefault="00004B13" w:rsidP="0065731E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CD57CB" w:rsidRPr="00004B13" w14:paraId="3FEBDC5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918DD6A" w14:textId="114C98F1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39F2FAC8" w14:textId="429420A1" w:rsidR="00CD57CB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398BAB3D" w14:textId="47B4A5FA" w:rsidR="00CD57CB" w:rsidRPr="00004B13" w:rsidRDefault="00CD57CB" w:rsidP="00CD57CB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25 000</w:t>
            </w:r>
          </w:p>
        </w:tc>
        <w:tc>
          <w:tcPr>
            <w:tcW w:w="1845" w:type="dxa"/>
            <w:vAlign w:val="center"/>
          </w:tcPr>
          <w:p w14:paraId="3E35222B" w14:textId="77777777" w:rsidR="00CD57CB" w:rsidRPr="00004B13" w:rsidRDefault="00CD57CB" w:rsidP="00CD57CB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76CB1C0" w14:textId="7850561D" w:rsidR="00CD57CB" w:rsidRPr="00004B13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M</w:t>
            </w:r>
            <w:r w:rsidR="00595D89" w:rsidRPr="00012DD1">
              <w:rPr>
                <w:b/>
                <w:bCs/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1B26857B" w:rsidR="00595D89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118 370</w:t>
            </w:r>
          </w:p>
        </w:tc>
        <w:tc>
          <w:tcPr>
            <w:tcW w:w="1845" w:type="dxa"/>
            <w:hideMark/>
          </w:tcPr>
          <w:p w14:paraId="1F0794FF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lastRenderedPageBreak/>
              <w:t>5.1.</w:t>
            </w:r>
          </w:p>
        </w:tc>
        <w:tc>
          <w:tcPr>
            <w:tcW w:w="6393" w:type="dxa"/>
            <w:vAlign w:val="center"/>
          </w:tcPr>
          <w:p w14:paraId="36C539D6" w14:textId="18601854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32E46D9E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="00B64A0C" w:rsidRPr="00004B13">
              <w:rPr>
                <w:color w:val="000000"/>
                <w:szCs w:val="24"/>
              </w:rPr>
              <w:t>kspert</w:t>
            </w:r>
            <w:r w:rsidR="00B64A0C">
              <w:rPr>
                <w:color w:val="000000"/>
                <w:szCs w:val="24"/>
              </w:rPr>
              <w:t>ų</w:t>
            </w:r>
            <w:r w:rsidR="00B64A0C"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 w:rsidR="00B64A0C"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CD57CB" w:rsidRPr="00004B13" w14:paraId="306251E3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1FCCA35" w14:textId="45601B0B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09E6485F" w14:textId="12FA61DF" w:rsidR="00CD57CB" w:rsidRDefault="00CD57CB" w:rsidP="00CD57CB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62731464" w14:textId="2A895891" w:rsidR="00CD57CB" w:rsidRPr="00004B13" w:rsidRDefault="00CD57CB" w:rsidP="00CD57CB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73E21CC9" w14:textId="77777777" w:rsidR="00CD57CB" w:rsidRPr="00004B13" w:rsidRDefault="00CD57CB" w:rsidP="00CD57CB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47750C4" w14:textId="7217811F" w:rsidR="00CD57CB" w:rsidRDefault="00CD57CB" w:rsidP="00CD57CB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P</w:t>
            </w:r>
            <w:r w:rsidR="00595D89" w:rsidRPr="00012DD1">
              <w:rPr>
                <w:b/>
                <w:bCs/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313BAA86" w:rsidR="00595D89" w:rsidRPr="00012DD1" w:rsidRDefault="00E90DB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61 450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4DE1B0BB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790F852F" w:rsidR="00012DD1" w:rsidRPr="00CD57CB" w:rsidRDefault="00012DD1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</w:t>
            </w:r>
            <w:r w:rsidR="00F8756A" w:rsidRPr="00CD57CB">
              <w:t xml:space="preserve"> atlikti tiksliems matavimams</w:t>
            </w:r>
            <w:r w:rsidRPr="00CD57CB">
              <w:t>. Specialios paskirties stacionarus kompiuteris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19F74A60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11</w:t>
            </w:r>
            <w:r w:rsidR="00BA52EC" w:rsidRPr="00CD57CB">
              <w:t xml:space="preserve"> </w:t>
            </w:r>
            <w:r w:rsidRPr="00CD57CB">
              <w:t>050</w:t>
            </w:r>
          </w:p>
        </w:tc>
        <w:tc>
          <w:tcPr>
            <w:tcW w:w="1845" w:type="dxa"/>
          </w:tcPr>
          <w:p w14:paraId="1A32FCE0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E548DC7" w:rsidR="00012DD1" w:rsidRPr="00CD57CB" w:rsidRDefault="0065731E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 atlikti tiksliems matavimams</w:t>
            </w:r>
            <w:r w:rsidR="00012DD1" w:rsidRPr="00CD57CB">
              <w:t xml:space="preserve">. </w:t>
            </w:r>
            <w:r w:rsidR="00925FB1" w:rsidRPr="00CD57CB">
              <w:t>T</w:t>
            </w:r>
            <w:r w:rsidR="00012DD1" w:rsidRPr="00CD57CB">
              <w:t>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1AC1DAE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32</w:t>
            </w:r>
            <w:r w:rsidR="00BA52EC" w:rsidRPr="00CD57CB">
              <w:t xml:space="preserve"> </w:t>
            </w:r>
            <w:r w:rsidRPr="00CD57CB">
              <w:t>100</w:t>
            </w:r>
          </w:p>
        </w:tc>
        <w:tc>
          <w:tcPr>
            <w:tcW w:w="1845" w:type="dxa"/>
          </w:tcPr>
          <w:p w14:paraId="158B6299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41088441" w:rsidR="00012DD1" w:rsidRPr="00CD57CB" w:rsidRDefault="00F8756A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Bepiločių orlaivių priedai</w:t>
            </w:r>
            <w:r w:rsidR="00012DD1" w:rsidRPr="00CD57CB">
              <w:t xml:space="preserve"> </w:t>
            </w:r>
            <w:r w:rsidRPr="00CD57CB">
              <w:t xml:space="preserve">tiksliems matavimams atlikti </w:t>
            </w:r>
            <w:r w:rsidR="00012DD1" w:rsidRPr="00CD57CB">
              <w:t xml:space="preserve">Programinė įranga bepiločiais orlaiviais pamatuotų fotogrametrinių </w:t>
            </w:r>
            <w:r w:rsidRPr="00CD57CB">
              <w:t>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13 300</w:t>
            </w:r>
          </w:p>
        </w:tc>
        <w:tc>
          <w:tcPr>
            <w:tcW w:w="1845" w:type="dxa"/>
          </w:tcPr>
          <w:p w14:paraId="785F628C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6F829151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57CB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57CB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A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tliekoms sutvarkyti </w:t>
            </w:r>
            <w:r w:rsidR="00004B13" w:rsidRPr="00CD57CB">
              <w:rPr>
                <w:b/>
                <w:bCs/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kol </w:t>
            </w:r>
            <w:r w:rsidR="00004B13" w:rsidRPr="00CD57CB">
              <w:rPr>
                <w:b/>
                <w:bCs/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534BD2F1" w:rsidR="00004B13" w:rsidRPr="00CD57CB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51B44CCE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1C3A5850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012DD1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A</w:t>
            </w:r>
            <w:r w:rsidR="00004B13" w:rsidRPr="00012DD1">
              <w:rPr>
                <w:b/>
                <w:bCs/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FC3AED5" w14:textId="01EC3B1A" w:rsidR="00004B13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3E0160">
              <w:rPr>
                <w:b/>
                <w:bCs/>
                <w:szCs w:val="24"/>
                <w:lang w:eastAsia="lt-LT"/>
              </w:rPr>
              <w:t>1 704 333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21296901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09F10853" w:rsidR="00004B13" w:rsidRPr="00004B13" w:rsidRDefault="00CD57CB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rPr>
                <w:color w:val="000000"/>
                <w:szCs w:val="24"/>
              </w:rPr>
              <w:t>129</w:t>
            </w:r>
            <w:r>
              <w:rPr>
                <w:color w:val="000000"/>
                <w:szCs w:val="24"/>
              </w:rPr>
              <w:t xml:space="preserve"> </w:t>
            </w:r>
            <w:r w:rsidRPr="00CD57CB">
              <w:rPr>
                <w:color w:val="000000"/>
                <w:szCs w:val="24"/>
              </w:rPr>
              <w:t>305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65731E" w:rsidRDefault="00004B13" w:rsidP="0065731E">
            <w:pPr>
              <w:jc w:val="center"/>
              <w:textAlignment w:val="baseline"/>
              <w:rPr>
                <w:sz w:val="28"/>
                <w:szCs w:val="28"/>
                <w:lang w:eastAsia="lt-LT"/>
              </w:rPr>
            </w:pPr>
            <w:r w:rsidRPr="0065731E">
              <w:rPr>
                <w:sz w:val="28"/>
                <w:szCs w:val="28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65731E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4D8BA7F2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</w:t>
            </w:r>
            <w:r w:rsidR="00004B13" w:rsidRPr="00004B13">
              <w:rPr>
                <w:color w:val="000000"/>
                <w:szCs w:val="24"/>
              </w:rPr>
              <w:t>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5BB0AC4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</w:t>
            </w:r>
            <w:r w:rsidR="00004B13" w:rsidRPr="00004B13">
              <w:rPr>
                <w:color w:val="000000"/>
                <w:szCs w:val="24"/>
              </w:rPr>
              <w:t>otacijos savivaldybių projektams</w:t>
            </w:r>
          </w:p>
        </w:tc>
        <w:tc>
          <w:tcPr>
            <w:tcW w:w="1843" w:type="dxa"/>
            <w:vAlign w:val="center"/>
          </w:tcPr>
          <w:p w14:paraId="33714B6B" w14:textId="7C85B1AC" w:rsidR="00004B13" w:rsidRPr="00004B13" w:rsidRDefault="00725EDE" w:rsidP="0065731E">
            <w:pPr>
              <w:jc w:val="center"/>
              <w:rPr>
                <w:szCs w:val="24"/>
                <w:lang w:eastAsia="lt-LT"/>
              </w:rPr>
            </w:pPr>
            <w:r w:rsidRPr="00725EDE">
              <w:rPr>
                <w:color w:val="000000"/>
                <w:szCs w:val="24"/>
              </w:rPr>
              <w:t>873</w:t>
            </w:r>
            <w:r>
              <w:rPr>
                <w:color w:val="000000"/>
                <w:szCs w:val="24"/>
              </w:rPr>
              <w:t xml:space="preserve"> </w:t>
            </w:r>
            <w:r w:rsidRPr="00725EDE">
              <w:rPr>
                <w:color w:val="000000"/>
                <w:szCs w:val="24"/>
              </w:rPr>
              <w:t>988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353B94D8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725EDE">
              <w:rPr>
                <w:b/>
                <w:bCs/>
                <w:szCs w:val="24"/>
                <w:lang w:eastAsia="lt-LT"/>
              </w:rPr>
              <w:t> 338 153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6592F23C" w:rsidR="00595D89" w:rsidRPr="00012DD1" w:rsidRDefault="00725EDE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56 847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AE4906" w:rsidRPr="00012DD1">
              <w:rPr>
                <w:b/>
                <w:bCs/>
                <w:szCs w:val="24"/>
                <w:lang w:eastAsia="lt-LT"/>
              </w:rPr>
              <w:t> </w:t>
            </w:r>
            <w:r w:rsidRPr="00012DD1">
              <w:rPr>
                <w:b/>
                <w:bCs/>
                <w:szCs w:val="24"/>
                <w:lang w:eastAsia="lt-LT"/>
              </w:rPr>
              <w:t>395</w:t>
            </w:r>
            <w:r w:rsidR="00AE4906" w:rsidRPr="00012DD1">
              <w:rPr>
                <w:b/>
                <w:bCs/>
                <w:szCs w:val="24"/>
                <w:lang w:eastAsia="lt-LT"/>
              </w:rPr>
              <w:t xml:space="preserve"> </w:t>
            </w:r>
            <w:r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</w:tbl>
    <w:p w14:paraId="64B7390D" w14:textId="44013694" w:rsidR="00595D89" w:rsidRDefault="00595D89" w:rsidP="0065731E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  <w:bookmarkStart w:id="1" w:name="part_d527f5cf44694df8a07298ed0dc7ade0"/>
      <w:bookmarkEnd w:id="1"/>
      <w:r w:rsidR="0065731E">
        <w:rPr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</w:t>
      </w:r>
      <w:r w:rsidRPr="00595D89">
        <w:rPr>
          <w:color w:val="000000"/>
          <w:szCs w:val="24"/>
          <w:lang w:eastAsia="lt-LT"/>
        </w:rPr>
        <w:t>_____________ </w:t>
      </w:r>
    </w:p>
    <w:sectPr w:rsidR="00595D89" w:rsidSect="004D4C87">
      <w:headerReference w:type="default" r:id="rId14"/>
      <w:pgSz w:w="16838" w:h="11906" w:orient="landscape"/>
      <w:pgMar w:top="1276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0D04" w14:textId="655777F4" w:rsidR="0095706F" w:rsidRDefault="005E06B3" w:rsidP="005E06B3">
    <w:pPr>
      <w:pStyle w:val="Header"/>
      <w:tabs>
        <w:tab w:val="left" w:pos="7224"/>
      </w:tabs>
    </w:pPr>
    <w:r>
      <w:tab/>
    </w:r>
    <w:r>
      <w:tab/>
    </w:r>
    <w:r w:rsidR="00C67752">
      <w:t>2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8D79" w14:textId="7B4B3137" w:rsidR="00C67752" w:rsidRDefault="00C67752" w:rsidP="00C6775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5C2C3532" w:rsidR="004C4AF0" w:rsidRDefault="004C4AF0" w:rsidP="005E06B3">
    <w:pPr>
      <w:pStyle w:val="Header"/>
      <w:tabs>
        <w:tab w:val="left" w:pos="7224"/>
      </w:tabs>
    </w:pPr>
    <w:r>
      <w:tab/>
    </w:r>
    <w:r>
      <w:tab/>
    </w:r>
    <w:r w:rsidR="0065731E"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F544D"/>
    <w:rsid w:val="000F673D"/>
    <w:rsid w:val="000F67B9"/>
    <w:rsid w:val="00103087"/>
    <w:rsid w:val="00114C54"/>
    <w:rsid w:val="00145675"/>
    <w:rsid w:val="001511BC"/>
    <w:rsid w:val="0016652B"/>
    <w:rsid w:val="0017106A"/>
    <w:rsid w:val="00187E6D"/>
    <w:rsid w:val="001A1411"/>
    <w:rsid w:val="001A2DB7"/>
    <w:rsid w:val="001A3587"/>
    <w:rsid w:val="001F57A2"/>
    <w:rsid w:val="001F739A"/>
    <w:rsid w:val="00211754"/>
    <w:rsid w:val="0021203F"/>
    <w:rsid w:val="002121D9"/>
    <w:rsid w:val="00231201"/>
    <w:rsid w:val="00240E24"/>
    <w:rsid w:val="002B1F2D"/>
    <w:rsid w:val="002B4995"/>
    <w:rsid w:val="002C5CAC"/>
    <w:rsid w:val="002D2252"/>
    <w:rsid w:val="002F7E32"/>
    <w:rsid w:val="00306F33"/>
    <w:rsid w:val="00317BF7"/>
    <w:rsid w:val="00357323"/>
    <w:rsid w:val="00357947"/>
    <w:rsid w:val="00386E8F"/>
    <w:rsid w:val="003B648C"/>
    <w:rsid w:val="003E1FEE"/>
    <w:rsid w:val="003E3775"/>
    <w:rsid w:val="004008AC"/>
    <w:rsid w:val="004227A6"/>
    <w:rsid w:val="00435E73"/>
    <w:rsid w:val="00437482"/>
    <w:rsid w:val="004559E3"/>
    <w:rsid w:val="00457835"/>
    <w:rsid w:val="0046303C"/>
    <w:rsid w:val="00466338"/>
    <w:rsid w:val="004A3FD0"/>
    <w:rsid w:val="004A4DCE"/>
    <w:rsid w:val="004C421D"/>
    <w:rsid w:val="004C4AF0"/>
    <w:rsid w:val="004D4C87"/>
    <w:rsid w:val="004D7569"/>
    <w:rsid w:val="00506A6D"/>
    <w:rsid w:val="00515FC4"/>
    <w:rsid w:val="00520ABB"/>
    <w:rsid w:val="00531500"/>
    <w:rsid w:val="0053350A"/>
    <w:rsid w:val="00560D20"/>
    <w:rsid w:val="00584DB8"/>
    <w:rsid w:val="00594D4E"/>
    <w:rsid w:val="00595D89"/>
    <w:rsid w:val="005B7443"/>
    <w:rsid w:val="005D126A"/>
    <w:rsid w:val="005E06B3"/>
    <w:rsid w:val="005E6886"/>
    <w:rsid w:val="005F711F"/>
    <w:rsid w:val="00603BD4"/>
    <w:rsid w:val="006373B7"/>
    <w:rsid w:val="0065731E"/>
    <w:rsid w:val="006709C3"/>
    <w:rsid w:val="00670C74"/>
    <w:rsid w:val="006A4C59"/>
    <w:rsid w:val="006B3E5F"/>
    <w:rsid w:val="006C4792"/>
    <w:rsid w:val="006D7937"/>
    <w:rsid w:val="006E26E9"/>
    <w:rsid w:val="006F16A6"/>
    <w:rsid w:val="006F7359"/>
    <w:rsid w:val="0070456D"/>
    <w:rsid w:val="00705EE8"/>
    <w:rsid w:val="00722992"/>
    <w:rsid w:val="00725EDE"/>
    <w:rsid w:val="007363AF"/>
    <w:rsid w:val="00744A53"/>
    <w:rsid w:val="00754DD0"/>
    <w:rsid w:val="00772357"/>
    <w:rsid w:val="007D5840"/>
    <w:rsid w:val="007D65A2"/>
    <w:rsid w:val="00846C6E"/>
    <w:rsid w:val="0085165A"/>
    <w:rsid w:val="00867BDE"/>
    <w:rsid w:val="008A3393"/>
    <w:rsid w:val="008B6572"/>
    <w:rsid w:val="008D4DEC"/>
    <w:rsid w:val="00913014"/>
    <w:rsid w:val="00913965"/>
    <w:rsid w:val="00916480"/>
    <w:rsid w:val="00925FB1"/>
    <w:rsid w:val="00942747"/>
    <w:rsid w:val="009559B3"/>
    <w:rsid w:val="0095706F"/>
    <w:rsid w:val="00966DF6"/>
    <w:rsid w:val="00973FE7"/>
    <w:rsid w:val="00990C05"/>
    <w:rsid w:val="0099374E"/>
    <w:rsid w:val="009A53DA"/>
    <w:rsid w:val="009C6BF6"/>
    <w:rsid w:val="009F59CC"/>
    <w:rsid w:val="00A4516E"/>
    <w:rsid w:val="00A860AA"/>
    <w:rsid w:val="00A87922"/>
    <w:rsid w:val="00AB13A3"/>
    <w:rsid w:val="00AB3FC2"/>
    <w:rsid w:val="00AC60E0"/>
    <w:rsid w:val="00AE4906"/>
    <w:rsid w:val="00AF064C"/>
    <w:rsid w:val="00B37A88"/>
    <w:rsid w:val="00B50EE5"/>
    <w:rsid w:val="00B64A0C"/>
    <w:rsid w:val="00B7145F"/>
    <w:rsid w:val="00BA52EC"/>
    <w:rsid w:val="00BB2598"/>
    <w:rsid w:val="00BE7B81"/>
    <w:rsid w:val="00BF79F8"/>
    <w:rsid w:val="00C03736"/>
    <w:rsid w:val="00C20C49"/>
    <w:rsid w:val="00C23512"/>
    <w:rsid w:val="00C27C16"/>
    <w:rsid w:val="00C53F76"/>
    <w:rsid w:val="00C62980"/>
    <w:rsid w:val="00C67752"/>
    <w:rsid w:val="00C90466"/>
    <w:rsid w:val="00CD57CB"/>
    <w:rsid w:val="00CF2B2D"/>
    <w:rsid w:val="00CF3AED"/>
    <w:rsid w:val="00D04F36"/>
    <w:rsid w:val="00D160A4"/>
    <w:rsid w:val="00D239FC"/>
    <w:rsid w:val="00D23F9E"/>
    <w:rsid w:val="00D304E0"/>
    <w:rsid w:val="00D90F9C"/>
    <w:rsid w:val="00DA005D"/>
    <w:rsid w:val="00E05FC1"/>
    <w:rsid w:val="00E32AD5"/>
    <w:rsid w:val="00E576A7"/>
    <w:rsid w:val="00E756D3"/>
    <w:rsid w:val="00E90DB3"/>
    <w:rsid w:val="00E912E0"/>
    <w:rsid w:val="00E9529E"/>
    <w:rsid w:val="00EB728A"/>
    <w:rsid w:val="00ED7BAB"/>
    <w:rsid w:val="00EF3663"/>
    <w:rsid w:val="00EF4E6D"/>
    <w:rsid w:val="00F1282C"/>
    <w:rsid w:val="00F31DF3"/>
    <w:rsid w:val="00F62E8F"/>
    <w:rsid w:val="00F71186"/>
    <w:rsid w:val="00F8756A"/>
    <w:rsid w:val="00FB1290"/>
    <w:rsid w:val="00FC3561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0C43502-0581-48E5-A103-1B69BC2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8399C-FCDC-49BF-99FC-963790B55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E5EC2-6CE3-47BB-94DE-966992D0C604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87BD21-14F9-43E2-AE68-296D0D53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4</cp:revision>
  <dcterms:created xsi:type="dcterms:W3CDTF">2024-05-03T15:05:00Z</dcterms:created>
  <dcterms:modified xsi:type="dcterms:W3CDTF">2024-05-09T12:01:00Z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