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E226D7" w14:paraId="553D733D" w14:textId="77777777" w:rsidTr="00AB1BB6">
        <w:trPr>
          <w:trHeight w:val="846"/>
        </w:trPr>
        <w:tc>
          <w:tcPr>
            <w:tcW w:w="4110" w:type="dxa"/>
          </w:tcPr>
          <w:p w14:paraId="6BE3DD07" w14:textId="1D708585" w:rsidR="00E226D7" w:rsidRDefault="00E226D7" w:rsidP="00E226D7">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4E8A1AA9" w:rsidR="00E226D7" w:rsidRPr="00AB2A76" w:rsidRDefault="00E226D7" w:rsidP="00E226D7">
            <w:r>
              <w:t>Padidintas sprendinių aktualumas ir (arba) atnaujinti saugomų teritorijų specialiojo teritorijų planavimo dokumentai, kurių sprendiniai senesni kaip 15 metų (procentai)</w:t>
            </w:r>
          </w:p>
        </w:tc>
      </w:tr>
      <w:tr w:rsidR="00E226D7" w14:paraId="0E021A60" w14:textId="77777777" w:rsidTr="00AB1BB6">
        <w:trPr>
          <w:trHeight w:val="269"/>
        </w:trPr>
        <w:tc>
          <w:tcPr>
            <w:tcW w:w="4110" w:type="dxa"/>
          </w:tcPr>
          <w:p w14:paraId="317ADEB3" w14:textId="3A1E9447" w:rsidR="00E226D7" w:rsidRDefault="00E226D7" w:rsidP="00E226D7">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AF4736F" w:rsidR="00E226D7" w:rsidRPr="00AB2A76" w:rsidRDefault="00E226D7" w:rsidP="00E226D7">
            <w:r>
              <w:t xml:space="preserve">Procentai (proc.) </w:t>
            </w:r>
          </w:p>
        </w:tc>
      </w:tr>
      <w:tr w:rsidR="00E226D7" w14:paraId="3BB3FAEB" w14:textId="77777777" w:rsidTr="00AB1BB6">
        <w:trPr>
          <w:trHeight w:val="282"/>
        </w:trPr>
        <w:tc>
          <w:tcPr>
            <w:tcW w:w="4110" w:type="dxa"/>
          </w:tcPr>
          <w:p w14:paraId="01BA8A27" w14:textId="1105FB0B" w:rsidR="00E226D7" w:rsidRDefault="00E226D7" w:rsidP="00E226D7">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5077686F" w:rsidR="00E226D7" w:rsidRPr="00AB2A76" w:rsidRDefault="00E226D7" w:rsidP="00E226D7">
            <w:r>
              <w:t>Didėjimas</w:t>
            </w:r>
          </w:p>
        </w:tc>
      </w:tr>
      <w:tr w:rsidR="00E226D7" w14:paraId="02618A85" w14:textId="77777777" w:rsidTr="00AB1BB6">
        <w:trPr>
          <w:trHeight w:val="282"/>
        </w:trPr>
        <w:tc>
          <w:tcPr>
            <w:tcW w:w="4110" w:type="dxa"/>
          </w:tcPr>
          <w:p w14:paraId="02ADD13B" w14:textId="1C9DC65E" w:rsidR="00E226D7" w:rsidRDefault="00E226D7" w:rsidP="00E226D7">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62F2919" w:rsidR="00E226D7" w:rsidRPr="00AB2A76" w:rsidRDefault="00E226D7" w:rsidP="00E226D7">
            <w:r>
              <w:t>Skaitinės</w:t>
            </w:r>
          </w:p>
        </w:tc>
      </w:tr>
      <w:tr w:rsidR="00E226D7" w14:paraId="0E794FF7" w14:textId="77777777" w:rsidTr="00AB1BB6">
        <w:trPr>
          <w:trHeight w:val="282"/>
        </w:trPr>
        <w:tc>
          <w:tcPr>
            <w:tcW w:w="4110" w:type="dxa"/>
          </w:tcPr>
          <w:p w14:paraId="730BC1FE" w14:textId="1A376D23" w:rsidR="00E226D7" w:rsidRDefault="00E226D7" w:rsidP="00E226D7">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6983DEDF" w:rsidR="00E226D7" w:rsidRPr="00AB2A76" w:rsidRDefault="00E226D7" w:rsidP="00E226D7">
            <w:r>
              <w:t>Rezultato</w:t>
            </w:r>
          </w:p>
        </w:tc>
      </w:tr>
      <w:tr w:rsidR="00E226D7" w14:paraId="503D84A3" w14:textId="77777777" w:rsidTr="00AB1BB6">
        <w:trPr>
          <w:trHeight w:val="282"/>
        </w:trPr>
        <w:tc>
          <w:tcPr>
            <w:tcW w:w="4110" w:type="dxa"/>
          </w:tcPr>
          <w:p w14:paraId="5EFD79DD" w14:textId="6FF857A8" w:rsidR="00E226D7" w:rsidRDefault="00E226D7" w:rsidP="00E226D7">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30946713" w:rsidR="00E226D7" w:rsidRPr="00AB2A76" w:rsidRDefault="00E226D7" w:rsidP="00E226D7">
            <w:r>
              <w:t xml:space="preserve">R-02-001-11-08-01-01 </w:t>
            </w:r>
          </w:p>
        </w:tc>
      </w:tr>
      <w:tr w:rsidR="00E226D7" w14:paraId="2878D385" w14:textId="77777777" w:rsidTr="00AB1BB6">
        <w:trPr>
          <w:trHeight w:val="564"/>
        </w:trPr>
        <w:tc>
          <w:tcPr>
            <w:tcW w:w="4110" w:type="dxa"/>
          </w:tcPr>
          <w:p w14:paraId="63163103" w14:textId="4DFBF5FE" w:rsidR="00E226D7" w:rsidRDefault="00E226D7" w:rsidP="00E226D7">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4D60DE2B" w:rsidR="00E226D7" w:rsidRPr="00AB2A76" w:rsidRDefault="00E226D7" w:rsidP="00E226D7">
            <w:r>
              <w:t>Ne</w:t>
            </w:r>
          </w:p>
        </w:tc>
      </w:tr>
      <w:tr w:rsidR="00E226D7" w14:paraId="384BE381" w14:textId="77777777" w:rsidTr="00AB1BB6">
        <w:trPr>
          <w:trHeight w:val="1681"/>
        </w:trPr>
        <w:tc>
          <w:tcPr>
            <w:tcW w:w="4110" w:type="dxa"/>
          </w:tcPr>
          <w:p w14:paraId="3E5757B4" w14:textId="14513119" w:rsidR="00E226D7" w:rsidRDefault="00E226D7" w:rsidP="00E226D7">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381F8C0B" w:rsidR="00E226D7" w:rsidRPr="00AB2A76" w:rsidRDefault="00E226D7" w:rsidP="00E226D7">
            <w:r>
              <w:t xml:space="preserve">Saugomų teritorijų planavimo dokumentai – saugomų teritorijų sistemos ar jos dalių schemos, saugomų teritorijų ribų planai, saugomų teritorijų planavimo schemos (ribų ir tvarkymo planai), saugomų teritorijų tvarkymo planai. Siekiant užtikrinti galimybes, pasirengimą konkrečioms apsaugos ir tvarkymo priemonėms įgyvendinti, veiklai vykdyti Valstybinė saugomų teritorijų tarnyba prie AM organizuoja šių dokumentų rengimo, atnaujinimo, koregavimo procedūras. </w:t>
            </w:r>
            <w:r>
              <w:br/>
            </w:r>
            <w:r>
              <w:br/>
              <w:t xml:space="preserve">Numatoma aktualizuoti saugomų teritorijų specialiojo teritorijų planavimo dokumentų sprendinius, senesnius kaip 15 metų. </w:t>
            </w:r>
            <w:r>
              <w:br/>
            </w:r>
            <w:r>
              <w:br/>
              <w:t xml:space="preserve">Rodiklis skaičiuojamas einamaisiais metais atnaujintų (patvirtintų) planavimo dokumentų skaičių lyginant su bendru galiojančių saugomų teritorijų specialiojo teritorijų planavimo dokumentų skaičiumi. </w:t>
            </w:r>
          </w:p>
        </w:tc>
      </w:tr>
      <w:tr w:rsidR="00E226D7" w14:paraId="7A176F51" w14:textId="77777777" w:rsidTr="00AB1BB6">
        <w:trPr>
          <w:trHeight w:val="564"/>
        </w:trPr>
        <w:tc>
          <w:tcPr>
            <w:tcW w:w="4110" w:type="dxa"/>
          </w:tcPr>
          <w:p w14:paraId="526397EA" w14:textId="58105ECC" w:rsidR="00E226D7" w:rsidRDefault="00E226D7" w:rsidP="00E226D7">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660476B" w:rsidR="00E226D7" w:rsidRPr="00AB2A76" w:rsidRDefault="00E226D7" w:rsidP="00E226D7">
            <w:r>
              <w:t>Automatiškai apskaičiuojamas stebėsenos rodiklis</w:t>
            </w:r>
          </w:p>
        </w:tc>
      </w:tr>
      <w:tr w:rsidR="00E226D7" w14:paraId="1C2475F0" w14:textId="77777777" w:rsidTr="00AB1BB6">
        <w:trPr>
          <w:trHeight w:val="1128"/>
        </w:trPr>
        <w:tc>
          <w:tcPr>
            <w:tcW w:w="4110" w:type="dxa"/>
          </w:tcPr>
          <w:p w14:paraId="701672CE" w14:textId="496EF98F" w:rsidR="00E226D7" w:rsidRDefault="00E226D7" w:rsidP="00E226D7">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3222D804" w:rsidR="00E226D7" w:rsidRPr="00AB2A76" w:rsidRDefault="00E226D7" w:rsidP="00E226D7">
            <w:r>
              <w:t xml:space="preserve">R = NTPD*100/TPD </w:t>
            </w:r>
            <w:r>
              <w:br/>
            </w:r>
            <w:r>
              <w:br/>
              <w:t xml:space="preserve">R – rodiklio reikšmė (proc.) </w:t>
            </w:r>
            <w:r>
              <w:br/>
            </w:r>
            <w:r>
              <w:br/>
              <w:t xml:space="preserve">NTPD – naujų/atnaujintų saugomų teritorijų specialiojo teritorijų planavimo dokumentų sk. (vnt.) </w:t>
            </w:r>
            <w:r>
              <w:br/>
            </w:r>
            <w:r>
              <w:br/>
              <w:t xml:space="preserve">TPD – bendras galiojančių saugomų teritorijų specialiojo teritorijų planavimo dokumentų sk. (vnt.) </w:t>
            </w:r>
          </w:p>
        </w:tc>
      </w:tr>
      <w:tr w:rsidR="00E226D7" w14:paraId="3AA10008" w14:textId="77777777" w:rsidTr="00AB1BB6">
        <w:trPr>
          <w:trHeight w:val="1128"/>
        </w:trPr>
        <w:tc>
          <w:tcPr>
            <w:tcW w:w="4110" w:type="dxa"/>
          </w:tcPr>
          <w:p w14:paraId="3DCD3A46" w14:textId="6B4D3579" w:rsidR="00E226D7" w:rsidRDefault="00E226D7" w:rsidP="00E226D7">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BE6592C" w:rsidR="00E226D7" w:rsidRPr="00AB2A76" w:rsidRDefault="00E226D7" w:rsidP="00E226D7">
            <w:r>
              <w:t xml:space="preserve">Saugmų teritorijų valstybės kadastras, Teritorijų planavimo dokumentų registras </w:t>
            </w:r>
          </w:p>
        </w:tc>
      </w:tr>
      <w:tr w:rsidR="00E226D7" w14:paraId="3DCF3025" w14:textId="77777777" w:rsidTr="00AB1BB6">
        <w:trPr>
          <w:trHeight w:val="564"/>
        </w:trPr>
        <w:tc>
          <w:tcPr>
            <w:tcW w:w="4110" w:type="dxa"/>
          </w:tcPr>
          <w:p w14:paraId="4D8AFD76" w14:textId="5D81A0FC" w:rsidR="00E226D7" w:rsidRDefault="00E226D7" w:rsidP="00E226D7">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3EC20A4C" w:rsidR="00E226D7" w:rsidRPr="00AB2A76" w:rsidRDefault="00E226D7" w:rsidP="00E226D7">
            <w:r>
              <w:t>kas metus</w:t>
            </w:r>
          </w:p>
        </w:tc>
      </w:tr>
      <w:tr w:rsidR="00E226D7" w14:paraId="3BC7B4EA" w14:textId="77777777" w:rsidTr="00AB1BB6">
        <w:trPr>
          <w:trHeight w:val="282"/>
        </w:trPr>
        <w:tc>
          <w:tcPr>
            <w:tcW w:w="4110" w:type="dxa"/>
          </w:tcPr>
          <w:p w14:paraId="5076C9F7" w14:textId="7FC158F7" w:rsidR="00E226D7" w:rsidRDefault="00E226D7" w:rsidP="00E226D7">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06E770C9" w:rsidR="00E226D7" w:rsidRPr="00AB2A76" w:rsidRDefault="00E226D7" w:rsidP="00E226D7">
            <w:r>
              <w:t>Projekto veiklų įgyvendinimo pabaigoje</w:t>
            </w:r>
          </w:p>
        </w:tc>
      </w:tr>
      <w:tr w:rsidR="00E226D7" w14:paraId="072BA5B9" w14:textId="77777777" w:rsidTr="00AB1BB6">
        <w:trPr>
          <w:trHeight w:val="552"/>
        </w:trPr>
        <w:tc>
          <w:tcPr>
            <w:tcW w:w="4110" w:type="dxa"/>
          </w:tcPr>
          <w:p w14:paraId="77745789" w14:textId="1F799BA4" w:rsidR="00E226D7" w:rsidRDefault="00E226D7" w:rsidP="00E226D7">
            <w:r w:rsidRPr="002956E2">
              <w:lastRenderedPageBreak/>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2D5B1E28" w:rsidR="00E226D7" w:rsidRPr="00AB2A76" w:rsidRDefault="00E226D7" w:rsidP="00E226D7">
            <w:r>
              <w:t>Valstybinė saugomų teritorijų tarnyba prie Aplinkos ministerijos (VSTT)</w:t>
            </w:r>
          </w:p>
        </w:tc>
      </w:tr>
      <w:tr w:rsidR="00E226D7" w14:paraId="635D4173" w14:textId="77777777" w:rsidTr="008D4015">
        <w:trPr>
          <w:trHeight w:val="846"/>
        </w:trPr>
        <w:tc>
          <w:tcPr>
            <w:tcW w:w="4110" w:type="dxa"/>
            <w:tcBorders>
              <w:bottom w:val="single" w:sz="4" w:space="0" w:color="auto"/>
              <w:right w:val="single" w:sz="4" w:space="0" w:color="auto"/>
            </w:tcBorders>
          </w:tcPr>
          <w:p w14:paraId="3081651A" w14:textId="27D8D18A" w:rsidR="00E226D7" w:rsidRDefault="00E226D7" w:rsidP="00E226D7">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7E52AF99" w:rsidR="00E226D7" w:rsidRPr="00AB2A76" w:rsidRDefault="00E226D7" w:rsidP="00E226D7">
            <w:r>
              <w:t>Valstybinė saugomų teritorijų tarnyba prie Aplinkos ministerijos (VSTT) tel.865962909</w:t>
            </w:r>
          </w:p>
        </w:tc>
      </w:tr>
      <w:tr w:rsidR="00E226D7" w14:paraId="616A13C1" w14:textId="77777777" w:rsidTr="008D4015">
        <w:trPr>
          <w:trHeight w:val="282"/>
        </w:trPr>
        <w:tc>
          <w:tcPr>
            <w:tcW w:w="4110" w:type="dxa"/>
            <w:tcBorders>
              <w:top w:val="single" w:sz="4" w:space="0" w:color="auto"/>
              <w:right w:val="single" w:sz="4" w:space="0" w:color="auto"/>
            </w:tcBorders>
          </w:tcPr>
          <w:p w14:paraId="0BA4CC18" w14:textId="35E2E075" w:rsidR="00E226D7" w:rsidRDefault="00E226D7" w:rsidP="00E226D7">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1625C08C" w:rsidR="00E226D7" w:rsidRPr="00AB2A76" w:rsidRDefault="00E226D7" w:rsidP="00E226D7">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365E5"/>
    <w:rsid w:val="000408DB"/>
    <w:rsid w:val="00083F5A"/>
    <w:rsid w:val="000902A1"/>
    <w:rsid w:val="000A279D"/>
    <w:rsid w:val="000B68C0"/>
    <w:rsid w:val="000C01F3"/>
    <w:rsid w:val="000C2D01"/>
    <w:rsid w:val="000C33DC"/>
    <w:rsid w:val="000E6FA6"/>
    <w:rsid w:val="000F1DD2"/>
    <w:rsid w:val="001167DD"/>
    <w:rsid w:val="0015058C"/>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941B6"/>
    <w:rsid w:val="002A0DF6"/>
    <w:rsid w:val="002D38E9"/>
    <w:rsid w:val="002E32B1"/>
    <w:rsid w:val="002E3BE3"/>
    <w:rsid w:val="002E6EFA"/>
    <w:rsid w:val="003149C3"/>
    <w:rsid w:val="00331F73"/>
    <w:rsid w:val="00334E11"/>
    <w:rsid w:val="00372211"/>
    <w:rsid w:val="003747F8"/>
    <w:rsid w:val="0037662D"/>
    <w:rsid w:val="00396BC8"/>
    <w:rsid w:val="003A1241"/>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4841"/>
    <w:rsid w:val="00490470"/>
    <w:rsid w:val="004A292E"/>
    <w:rsid w:val="004A5E06"/>
    <w:rsid w:val="004F45E6"/>
    <w:rsid w:val="0053155E"/>
    <w:rsid w:val="00557F05"/>
    <w:rsid w:val="00562F03"/>
    <w:rsid w:val="00566231"/>
    <w:rsid w:val="00580EB0"/>
    <w:rsid w:val="00581D66"/>
    <w:rsid w:val="005A0C9B"/>
    <w:rsid w:val="005A166D"/>
    <w:rsid w:val="005E6021"/>
    <w:rsid w:val="005E698C"/>
    <w:rsid w:val="005F0C6A"/>
    <w:rsid w:val="005F6C54"/>
    <w:rsid w:val="00602C30"/>
    <w:rsid w:val="00603C1B"/>
    <w:rsid w:val="00604DDD"/>
    <w:rsid w:val="00647787"/>
    <w:rsid w:val="00650B01"/>
    <w:rsid w:val="00657967"/>
    <w:rsid w:val="006605C4"/>
    <w:rsid w:val="00662584"/>
    <w:rsid w:val="0067000A"/>
    <w:rsid w:val="00677460"/>
    <w:rsid w:val="006A0DC2"/>
    <w:rsid w:val="006A24E1"/>
    <w:rsid w:val="006C2485"/>
    <w:rsid w:val="006E249D"/>
    <w:rsid w:val="006E287D"/>
    <w:rsid w:val="006E5D7C"/>
    <w:rsid w:val="006E7E39"/>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4467D"/>
    <w:rsid w:val="00855734"/>
    <w:rsid w:val="00872FF7"/>
    <w:rsid w:val="008770A0"/>
    <w:rsid w:val="008773AA"/>
    <w:rsid w:val="0089190B"/>
    <w:rsid w:val="008A6EC2"/>
    <w:rsid w:val="008B627F"/>
    <w:rsid w:val="008D1AE9"/>
    <w:rsid w:val="008D4015"/>
    <w:rsid w:val="009054ED"/>
    <w:rsid w:val="00917058"/>
    <w:rsid w:val="00922E0E"/>
    <w:rsid w:val="00927134"/>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960B3"/>
    <w:rsid w:val="00CA12BB"/>
    <w:rsid w:val="00CA4390"/>
    <w:rsid w:val="00CC0F68"/>
    <w:rsid w:val="00CE4388"/>
    <w:rsid w:val="00CE694D"/>
    <w:rsid w:val="00CF2BDA"/>
    <w:rsid w:val="00CF6BF3"/>
    <w:rsid w:val="00D01977"/>
    <w:rsid w:val="00D72285"/>
    <w:rsid w:val="00D85826"/>
    <w:rsid w:val="00DB2756"/>
    <w:rsid w:val="00DC35F2"/>
    <w:rsid w:val="00DD23E4"/>
    <w:rsid w:val="00DD2A9B"/>
    <w:rsid w:val="00DD4CB7"/>
    <w:rsid w:val="00DE0904"/>
    <w:rsid w:val="00E01701"/>
    <w:rsid w:val="00E03F77"/>
    <w:rsid w:val="00E0454F"/>
    <w:rsid w:val="00E06A87"/>
    <w:rsid w:val="00E13570"/>
    <w:rsid w:val="00E209DE"/>
    <w:rsid w:val="00E226D7"/>
    <w:rsid w:val="00E533CD"/>
    <w:rsid w:val="00E73D49"/>
    <w:rsid w:val="00E87253"/>
    <w:rsid w:val="00E93406"/>
    <w:rsid w:val="00EB4379"/>
    <w:rsid w:val="00ED2A2F"/>
    <w:rsid w:val="00EE13F0"/>
    <w:rsid w:val="00F20BBB"/>
    <w:rsid w:val="00F40563"/>
    <w:rsid w:val="00F41238"/>
    <w:rsid w:val="00F85EC9"/>
    <w:rsid w:val="00FA2CFA"/>
    <w:rsid w:val="00FA55A4"/>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1478</Words>
  <Characters>843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108</cp:revision>
  <dcterms:created xsi:type="dcterms:W3CDTF">2024-05-29T15:47:00Z</dcterms:created>
  <dcterms:modified xsi:type="dcterms:W3CDTF">2024-05-29T19:33:00Z</dcterms:modified>
</cp:coreProperties>
</file>