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CF6BF3" w14:paraId="553D733D" w14:textId="77777777" w:rsidTr="00AB1BB6">
        <w:trPr>
          <w:trHeight w:val="846"/>
        </w:trPr>
        <w:tc>
          <w:tcPr>
            <w:tcW w:w="4110" w:type="dxa"/>
          </w:tcPr>
          <w:p w14:paraId="6BE3DD07" w14:textId="1D708585" w:rsidR="00CF6BF3" w:rsidRDefault="00CF6BF3" w:rsidP="00CF6BF3">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701C1285" w:rsidR="00CF6BF3" w:rsidRPr="00AB2A76" w:rsidRDefault="00CF6BF3" w:rsidP="00CF6BF3">
            <w:r>
              <w:t xml:space="preserve">Surinktų ir sutvarkytų naudotų padangų, kurių turėtojo nustatyti neįmanoma arba kuris neegzistuoja, tvarkymas </w:t>
            </w:r>
          </w:p>
        </w:tc>
      </w:tr>
      <w:tr w:rsidR="00CF6BF3" w14:paraId="0E021A60" w14:textId="77777777" w:rsidTr="00AB1BB6">
        <w:trPr>
          <w:trHeight w:val="269"/>
        </w:trPr>
        <w:tc>
          <w:tcPr>
            <w:tcW w:w="4110" w:type="dxa"/>
          </w:tcPr>
          <w:p w14:paraId="317ADEB3" w14:textId="3A1E9447" w:rsidR="00CF6BF3" w:rsidRDefault="00CF6BF3" w:rsidP="00CF6BF3">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059A2542" w:rsidR="00CF6BF3" w:rsidRPr="00AB2A76" w:rsidRDefault="00CF6BF3" w:rsidP="00CF6BF3">
            <w:r>
              <w:t>Tona</w:t>
            </w:r>
          </w:p>
        </w:tc>
      </w:tr>
      <w:tr w:rsidR="00CF6BF3" w14:paraId="3BB3FAEB" w14:textId="77777777" w:rsidTr="00AB1BB6">
        <w:trPr>
          <w:trHeight w:val="282"/>
        </w:trPr>
        <w:tc>
          <w:tcPr>
            <w:tcW w:w="4110" w:type="dxa"/>
          </w:tcPr>
          <w:p w14:paraId="01BA8A27" w14:textId="1105FB0B" w:rsidR="00CF6BF3" w:rsidRDefault="00CF6BF3" w:rsidP="00CF6BF3">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1BD2D348" w:rsidR="00CF6BF3" w:rsidRPr="00AB2A76" w:rsidRDefault="00CF6BF3" w:rsidP="00CF6BF3">
            <w:r>
              <w:t>Didėjimas</w:t>
            </w:r>
          </w:p>
        </w:tc>
      </w:tr>
      <w:tr w:rsidR="00CF6BF3" w14:paraId="02618A85" w14:textId="77777777" w:rsidTr="00AB1BB6">
        <w:trPr>
          <w:trHeight w:val="282"/>
        </w:trPr>
        <w:tc>
          <w:tcPr>
            <w:tcW w:w="4110" w:type="dxa"/>
          </w:tcPr>
          <w:p w14:paraId="02ADD13B" w14:textId="1C9DC65E" w:rsidR="00CF6BF3" w:rsidRDefault="00CF6BF3" w:rsidP="00CF6BF3">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59F4B33F" w:rsidR="00CF6BF3" w:rsidRPr="00AB2A76" w:rsidRDefault="00CF6BF3" w:rsidP="00CF6BF3">
            <w:r>
              <w:t>Skaitinės</w:t>
            </w:r>
          </w:p>
        </w:tc>
      </w:tr>
      <w:tr w:rsidR="00CF6BF3" w14:paraId="0E794FF7" w14:textId="77777777" w:rsidTr="00AB1BB6">
        <w:trPr>
          <w:trHeight w:val="282"/>
        </w:trPr>
        <w:tc>
          <w:tcPr>
            <w:tcW w:w="4110" w:type="dxa"/>
          </w:tcPr>
          <w:p w14:paraId="730BC1FE" w14:textId="1A376D23" w:rsidR="00CF6BF3" w:rsidRDefault="00CF6BF3" w:rsidP="00CF6BF3">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1AD24F3A" w:rsidR="00CF6BF3" w:rsidRPr="00AB2A76" w:rsidRDefault="00CF6BF3" w:rsidP="00CF6BF3">
            <w:r>
              <w:t>Rezultato</w:t>
            </w:r>
          </w:p>
        </w:tc>
      </w:tr>
      <w:tr w:rsidR="00CF6BF3" w14:paraId="503D84A3" w14:textId="77777777" w:rsidTr="00AB1BB6">
        <w:trPr>
          <w:trHeight w:val="282"/>
        </w:trPr>
        <w:tc>
          <w:tcPr>
            <w:tcW w:w="4110" w:type="dxa"/>
          </w:tcPr>
          <w:p w14:paraId="5EFD79DD" w14:textId="6FF857A8" w:rsidR="00CF6BF3" w:rsidRDefault="00CF6BF3" w:rsidP="00CF6BF3">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642C3C47" w:rsidR="00CF6BF3" w:rsidRPr="00AB2A76" w:rsidRDefault="00CF6BF3" w:rsidP="00CF6BF3">
            <w:r>
              <w:t>R-02-001-11-06-01-03</w:t>
            </w:r>
          </w:p>
        </w:tc>
      </w:tr>
      <w:tr w:rsidR="00CF6BF3" w14:paraId="2878D385" w14:textId="77777777" w:rsidTr="00AB1BB6">
        <w:trPr>
          <w:trHeight w:val="564"/>
        </w:trPr>
        <w:tc>
          <w:tcPr>
            <w:tcW w:w="4110" w:type="dxa"/>
          </w:tcPr>
          <w:p w14:paraId="63163103" w14:textId="4DFBF5FE" w:rsidR="00CF6BF3" w:rsidRDefault="00CF6BF3" w:rsidP="00CF6BF3">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05F452FB" w:rsidR="00CF6BF3" w:rsidRPr="00AB2A76" w:rsidRDefault="00CF6BF3" w:rsidP="00CF6BF3">
            <w:r>
              <w:t>Ne</w:t>
            </w:r>
          </w:p>
        </w:tc>
      </w:tr>
      <w:tr w:rsidR="00CF6BF3" w14:paraId="384BE381" w14:textId="77777777" w:rsidTr="00AB1BB6">
        <w:trPr>
          <w:trHeight w:val="1681"/>
        </w:trPr>
        <w:tc>
          <w:tcPr>
            <w:tcW w:w="4110" w:type="dxa"/>
          </w:tcPr>
          <w:p w14:paraId="3E5757B4" w14:textId="14513119" w:rsidR="00CF6BF3" w:rsidRDefault="00CF6BF3" w:rsidP="00CF6BF3">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2DA34E7A" w:rsidR="00CF6BF3" w:rsidRPr="00AB2A76" w:rsidRDefault="00CF6BF3" w:rsidP="00CF6BF3">
            <w:r>
              <w:t xml:space="preserve">Savivaldybių administracijų surinktų ir sutvarkytų bešeimininkių naudotų padangų kiekis. </w:t>
            </w:r>
          </w:p>
        </w:tc>
      </w:tr>
      <w:tr w:rsidR="00CF6BF3" w14:paraId="7A176F51" w14:textId="77777777" w:rsidTr="00AB1BB6">
        <w:trPr>
          <w:trHeight w:val="564"/>
        </w:trPr>
        <w:tc>
          <w:tcPr>
            <w:tcW w:w="4110" w:type="dxa"/>
          </w:tcPr>
          <w:p w14:paraId="526397EA" w14:textId="58105ECC" w:rsidR="00CF6BF3" w:rsidRDefault="00CF6BF3" w:rsidP="00CF6BF3">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28F81434" w:rsidR="00CF6BF3" w:rsidRPr="00AB2A76" w:rsidRDefault="00CF6BF3" w:rsidP="00CF6BF3">
            <w:r>
              <w:t>Įvedamasis stebėsenos rodiklis</w:t>
            </w:r>
          </w:p>
        </w:tc>
      </w:tr>
      <w:tr w:rsidR="00CF6BF3" w14:paraId="1C2475F0" w14:textId="77777777" w:rsidTr="00AB1BB6">
        <w:trPr>
          <w:trHeight w:val="1128"/>
        </w:trPr>
        <w:tc>
          <w:tcPr>
            <w:tcW w:w="4110" w:type="dxa"/>
          </w:tcPr>
          <w:p w14:paraId="701672CE" w14:textId="496EF98F" w:rsidR="00CF6BF3" w:rsidRDefault="00CF6BF3" w:rsidP="00CF6BF3">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3B3C5144" w:rsidR="00CF6BF3" w:rsidRPr="00AB2A76" w:rsidRDefault="00CF6BF3" w:rsidP="00CF6BF3">
            <w:r>
              <w:t xml:space="preserve">Sumuojamas projektų su mokėjimo prašymais deklaruotas surinktų ir sutvarkytų padangų atliekų kiekis. Stebėsenos rodiklis skaičiuojamas kaupiamuoju būdu. </w:t>
            </w:r>
          </w:p>
        </w:tc>
      </w:tr>
      <w:tr w:rsidR="00CF6BF3" w14:paraId="3AA10008" w14:textId="77777777" w:rsidTr="00AB1BB6">
        <w:trPr>
          <w:trHeight w:val="1128"/>
        </w:trPr>
        <w:tc>
          <w:tcPr>
            <w:tcW w:w="4110" w:type="dxa"/>
          </w:tcPr>
          <w:p w14:paraId="3DCD3A46" w14:textId="6B4D3579" w:rsidR="00CF6BF3" w:rsidRDefault="00CF6BF3" w:rsidP="00CF6BF3">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58839164" w:rsidR="00CF6BF3" w:rsidRPr="00AB2A76" w:rsidRDefault="00CF6BF3" w:rsidP="00CF6BF3">
            <w:r>
              <w:t xml:space="preserve">Išlaidų pagrindimo (priėmimo-perdavimo aktai, PVM sąskaitos faktūros) dokumentai, GPAIS sistema. </w:t>
            </w:r>
          </w:p>
        </w:tc>
      </w:tr>
      <w:tr w:rsidR="00CF6BF3" w14:paraId="3DCF3025" w14:textId="77777777" w:rsidTr="00AB1BB6">
        <w:trPr>
          <w:trHeight w:val="564"/>
        </w:trPr>
        <w:tc>
          <w:tcPr>
            <w:tcW w:w="4110" w:type="dxa"/>
          </w:tcPr>
          <w:p w14:paraId="4D8AFD76" w14:textId="5D81A0FC" w:rsidR="00CF6BF3" w:rsidRDefault="00CF6BF3" w:rsidP="00CF6BF3">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65A1620D" w:rsidR="00CF6BF3" w:rsidRPr="00AB2A76" w:rsidRDefault="00CF6BF3" w:rsidP="00CF6BF3">
            <w:r>
              <w:t xml:space="preserve">Ne dažniau kaip kartą per ketvirtį, bet ne vėliau kaip iki 2024 m. pabaigos. </w:t>
            </w:r>
          </w:p>
        </w:tc>
      </w:tr>
      <w:tr w:rsidR="00CF6BF3" w14:paraId="3BC7B4EA" w14:textId="77777777" w:rsidTr="00AB1BB6">
        <w:trPr>
          <w:trHeight w:val="282"/>
        </w:trPr>
        <w:tc>
          <w:tcPr>
            <w:tcW w:w="4110" w:type="dxa"/>
          </w:tcPr>
          <w:p w14:paraId="5076C9F7" w14:textId="7FC158F7" w:rsidR="00CF6BF3" w:rsidRDefault="00CF6BF3" w:rsidP="00CF6BF3">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33589746" w:rsidR="00CF6BF3" w:rsidRPr="00AB2A76" w:rsidRDefault="00CF6BF3" w:rsidP="00CF6BF3">
            <w:r>
              <w:t xml:space="preserve">Stebėsenos rodiklio pasiekimas nustatomas po projekto mokėjimo prašymo pateikimo ir jo patvirtinimo. </w:t>
            </w:r>
          </w:p>
        </w:tc>
      </w:tr>
      <w:tr w:rsidR="00CF6BF3" w14:paraId="072BA5B9" w14:textId="77777777" w:rsidTr="00AB1BB6">
        <w:trPr>
          <w:trHeight w:val="552"/>
        </w:trPr>
        <w:tc>
          <w:tcPr>
            <w:tcW w:w="4110" w:type="dxa"/>
          </w:tcPr>
          <w:p w14:paraId="77745789" w14:textId="1F799BA4" w:rsidR="00CF6BF3" w:rsidRDefault="00CF6BF3" w:rsidP="00CF6BF3">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4B54496D" w:rsidR="00CF6BF3" w:rsidRPr="00AB2A76" w:rsidRDefault="00CF6BF3" w:rsidP="00CF6BF3">
            <w:r>
              <w:t>Lietuvos Respublikos aplinkos ministerijos Aplinkos projektų valdymo agentūra  (APVA)</w:t>
            </w:r>
          </w:p>
        </w:tc>
      </w:tr>
      <w:tr w:rsidR="00CF6BF3" w14:paraId="635D4173" w14:textId="77777777" w:rsidTr="008D4015">
        <w:trPr>
          <w:trHeight w:val="846"/>
        </w:trPr>
        <w:tc>
          <w:tcPr>
            <w:tcW w:w="4110" w:type="dxa"/>
            <w:tcBorders>
              <w:bottom w:val="single" w:sz="4" w:space="0" w:color="auto"/>
              <w:right w:val="single" w:sz="4" w:space="0" w:color="auto"/>
            </w:tcBorders>
          </w:tcPr>
          <w:p w14:paraId="3081651A" w14:textId="27D8D18A" w:rsidR="00CF6BF3" w:rsidRDefault="00CF6BF3" w:rsidP="00CF6BF3">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2139AD8D" w:rsidR="00CF6BF3" w:rsidRPr="00AB2A76" w:rsidRDefault="00CF6BF3" w:rsidP="00CF6BF3">
            <w:r>
              <w:t>Lietuvos Respublikos aplinkos ministerijos Aplinkos projektų valdymo agentūra  (APVA) tel.861827848</w:t>
            </w:r>
          </w:p>
        </w:tc>
      </w:tr>
      <w:tr w:rsidR="00CF6BF3" w14:paraId="616A13C1" w14:textId="77777777" w:rsidTr="008D4015">
        <w:trPr>
          <w:trHeight w:val="282"/>
        </w:trPr>
        <w:tc>
          <w:tcPr>
            <w:tcW w:w="4110" w:type="dxa"/>
            <w:tcBorders>
              <w:top w:val="single" w:sz="4" w:space="0" w:color="auto"/>
              <w:right w:val="single" w:sz="4" w:space="0" w:color="auto"/>
            </w:tcBorders>
          </w:tcPr>
          <w:p w14:paraId="0BA4CC18" w14:textId="35E2E075" w:rsidR="00CF6BF3" w:rsidRDefault="00CF6BF3" w:rsidP="00CF6BF3">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3A0DFC26" w:rsidR="00CF6BF3" w:rsidRPr="00AB2A76" w:rsidRDefault="00CF6BF3" w:rsidP="00CF6BF3">
            <w:r>
              <w:t xml:space="preserve">Deklaruotam sutvarkytų padangų kiekiui, kurio tvarkymas finansuojamas Programos lėšomis, negali būti išrašomi apmokestinamųjų gaminių (padangų) atliekų sutvarkymą įrodantys dokumentai, leidžiantys padangų gamintojams ir importuotojams pasinaudoti Lietuvos Respublikos mokesčio už aplinkos teršimą įstatymo 6 straipsnio 4 dalyje numatyta lengvata. </w:t>
            </w:r>
            <w:r>
              <w:br/>
              <w:t xml:space="preserve">Rodiklio pasiekimas gali svyruoti į teigiamą arba neigiamą pusę, nes paraiškos teikimo metu naudotų padangų sutvarkymo rodiklis planuojamas preliminariai. </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902A1"/>
    <w:rsid w:val="000A279D"/>
    <w:rsid w:val="000B68C0"/>
    <w:rsid w:val="000C2D01"/>
    <w:rsid w:val="000C33DC"/>
    <w:rsid w:val="000E6FA6"/>
    <w:rsid w:val="000F1DD2"/>
    <w:rsid w:val="001167DD"/>
    <w:rsid w:val="0015058C"/>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941B6"/>
    <w:rsid w:val="002A0DF6"/>
    <w:rsid w:val="002D38E9"/>
    <w:rsid w:val="002E32B1"/>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30086"/>
    <w:rsid w:val="00441CBC"/>
    <w:rsid w:val="004449D7"/>
    <w:rsid w:val="00465523"/>
    <w:rsid w:val="00476C0A"/>
    <w:rsid w:val="00477D57"/>
    <w:rsid w:val="00484841"/>
    <w:rsid w:val="00490470"/>
    <w:rsid w:val="004A292E"/>
    <w:rsid w:val="004A5E06"/>
    <w:rsid w:val="0053155E"/>
    <w:rsid w:val="00557F05"/>
    <w:rsid w:val="00562F03"/>
    <w:rsid w:val="00566231"/>
    <w:rsid w:val="00580EB0"/>
    <w:rsid w:val="005A0C9B"/>
    <w:rsid w:val="005A166D"/>
    <w:rsid w:val="005E6021"/>
    <w:rsid w:val="005E698C"/>
    <w:rsid w:val="00602C30"/>
    <w:rsid w:val="00603C1B"/>
    <w:rsid w:val="00604DDD"/>
    <w:rsid w:val="00647787"/>
    <w:rsid w:val="00650B01"/>
    <w:rsid w:val="00657967"/>
    <w:rsid w:val="006605C4"/>
    <w:rsid w:val="00662584"/>
    <w:rsid w:val="0067000A"/>
    <w:rsid w:val="00677460"/>
    <w:rsid w:val="006A0DC2"/>
    <w:rsid w:val="006A24E1"/>
    <w:rsid w:val="006C2485"/>
    <w:rsid w:val="006E249D"/>
    <w:rsid w:val="006E287D"/>
    <w:rsid w:val="006E5D7C"/>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4467D"/>
    <w:rsid w:val="00855734"/>
    <w:rsid w:val="00872FF7"/>
    <w:rsid w:val="008773AA"/>
    <w:rsid w:val="0089190B"/>
    <w:rsid w:val="008B627F"/>
    <w:rsid w:val="008D1AE9"/>
    <w:rsid w:val="008D4015"/>
    <w:rsid w:val="009054ED"/>
    <w:rsid w:val="00917058"/>
    <w:rsid w:val="00922E0E"/>
    <w:rsid w:val="00927134"/>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33EC4"/>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960B3"/>
    <w:rsid w:val="00CA4390"/>
    <w:rsid w:val="00CC0F68"/>
    <w:rsid w:val="00CE4388"/>
    <w:rsid w:val="00CE694D"/>
    <w:rsid w:val="00CF2BDA"/>
    <w:rsid w:val="00CF6BF3"/>
    <w:rsid w:val="00D01977"/>
    <w:rsid w:val="00D72285"/>
    <w:rsid w:val="00D85826"/>
    <w:rsid w:val="00DB2756"/>
    <w:rsid w:val="00DC35F2"/>
    <w:rsid w:val="00DD23E4"/>
    <w:rsid w:val="00DD2A9B"/>
    <w:rsid w:val="00DD4CB7"/>
    <w:rsid w:val="00DE0904"/>
    <w:rsid w:val="00E01701"/>
    <w:rsid w:val="00E03F77"/>
    <w:rsid w:val="00E0454F"/>
    <w:rsid w:val="00E06A87"/>
    <w:rsid w:val="00E13570"/>
    <w:rsid w:val="00E209DE"/>
    <w:rsid w:val="00E533CD"/>
    <w:rsid w:val="00E73D49"/>
    <w:rsid w:val="00E87253"/>
    <w:rsid w:val="00EB4379"/>
    <w:rsid w:val="00ED2A2F"/>
    <w:rsid w:val="00EE13F0"/>
    <w:rsid w:val="00F20BBB"/>
    <w:rsid w:val="00F40563"/>
    <w:rsid w:val="00F41238"/>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1350</Words>
  <Characters>770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100</cp:revision>
  <dcterms:created xsi:type="dcterms:W3CDTF">2024-05-29T15:47:00Z</dcterms:created>
  <dcterms:modified xsi:type="dcterms:W3CDTF">2024-05-29T19:24:00Z</dcterms:modified>
</cp:coreProperties>
</file>