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6E52B2" w14:paraId="553D733D" w14:textId="77777777" w:rsidTr="00AB1BB6">
        <w:trPr>
          <w:trHeight w:val="846"/>
        </w:trPr>
        <w:tc>
          <w:tcPr>
            <w:tcW w:w="4110" w:type="dxa"/>
          </w:tcPr>
          <w:p w14:paraId="6BE3DD07" w14:textId="1D708585" w:rsidR="006E52B2" w:rsidRDefault="006E52B2" w:rsidP="006E52B2">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2CF1432B" w:rsidR="006E52B2" w:rsidRPr="00AB2A76" w:rsidRDefault="006E52B2" w:rsidP="006E52B2">
            <w:r>
              <w:t xml:space="preserve">Gyventojų, nurodžiusių, kad yra informuoti apie teritorijų planavimo ir statybos procesus, dalis </w:t>
            </w:r>
          </w:p>
        </w:tc>
      </w:tr>
      <w:tr w:rsidR="006E52B2" w14:paraId="0E021A60" w14:textId="77777777" w:rsidTr="00AB1BB6">
        <w:trPr>
          <w:trHeight w:val="269"/>
        </w:trPr>
        <w:tc>
          <w:tcPr>
            <w:tcW w:w="4110" w:type="dxa"/>
          </w:tcPr>
          <w:p w14:paraId="317ADEB3" w14:textId="3A1E9447" w:rsidR="006E52B2" w:rsidRDefault="006E52B2" w:rsidP="006E52B2">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EF44AE9" w:rsidR="006E52B2" w:rsidRPr="00AB2A76" w:rsidRDefault="006E52B2" w:rsidP="006E52B2">
            <w:r>
              <w:t>procentai</w:t>
            </w:r>
          </w:p>
        </w:tc>
      </w:tr>
      <w:tr w:rsidR="006E52B2" w14:paraId="3BB3FAEB" w14:textId="77777777" w:rsidTr="00AB1BB6">
        <w:trPr>
          <w:trHeight w:val="282"/>
        </w:trPr>
        <w:tc>
          <w:tcPr>
            <w:tcW w:w="4110" w:type="dxa"/>
          </w:tcPr>
          <w:p w14:paraId="01BA8A27" w14:textId="1105FB0B" w:rsidR="006E52B2" w:rsidRDefault="006E52B2" w:rsidP="006E52B2">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C336C11" w:rsidR="006E52B2" w:rsidRPr="00AB2A76" w:rsidRDefault="006E52B2" w:rsidP="006E52B2">
            <w:r>
              <w:t>Didėjimas</w:t>
            </w:r>
          </w:p>
        </w:tc>
      </w:tr>
      <w:tr w:rsidR="006E52B2" w14:paraId="02618A85" w14:textId="77777777" w:rsidTr="00AB1BB6">
        <w:trPr>
          <w:trHeight w:val="282"/>
        </w:trPr>
        <w:tc>
          <w:tcPr>
            <w:tcW w:w="4110" w:type="dxa"/>
          </w:tcPr>
          <w:p w14:paraId="02ADD13B" w14:textId="1C9DC65E" w:rsidR="006E52B2" w:rsidRDefault="006E52B2" w:rsidP="006E52B2">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D77050E" w:rsidR="006E52B2" w:rsidRPr="00AB2A76" w:rsidRDefault="006E52B2" w:rsidP="006E52B2">
            <w:r>
              <w:t>Skaitinės</w:t>
            </w:r>
          </w:p>
        </w:tc>
      </w:tr>
      <w:tr w:rsidR="006E52B2" w14:paraId="0E794FF7" w14:textId="77777777" w:rsidTr="0070258B">
        <w:trPr>
          <w:trHeight w:val="377"/>
        </w:trPr>
        <w:tc>
          <w:tcPr>
            <w:tcW w:w="4110" w:type="dxa"/>
          </w:tcPr>
          <w:p w14:paraId="730BC1FE" w14:textId="1A376D23" w:rsidR="006E52B2" w:rsidRDefault="006E52B2" w:rsidP="006E52B2">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130A5425" w:rsidR="006E52B2" w:rsidRPr="00AB2A76" w:rsidRDefault="006E52B2" w:rsidP="006E52B2">
            <w:r>
              <w:t>Rezultato</w:t>
            </w:r>
          </w:p>
        </w:tc>
      </w:tr>
      <w:tr w:rsidR="006E52B2" w14:paraId="503D84A3" w14:textId="77777777" w:rsidTr="00AB1BB6">
        <w:trPr>
          <w:trHeight w:val="282"/>
        </w:trPr>
        <w:tc>
          <w:tcPr>
            <w:tcW w:w="4110" w:type="dxa"/>
          </w:tcPr>
          <w:p w14:paraId="5EFD79DD" w14:textId="6FF857A8" w:rsidR="006E52B2" w:rsidRDefault="006E52B2" w:rsidP="006E52B2">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65C85BAB" w:rsidR="006E52B2" w:rsidRPr="00AB2A76" w:rsidRDefault="006E52B2" w:rsidP="006E52B2">
            <w:r>
              <w:t>R-02-001-13-01-01-03</w:t>
            </w:r>
          </w:p>
        </w:tc>
      </w:tr>
      <w:tr w:rsidR="006E52B2" w14:paraId="2878D385" w14:textId="77777777" w:rsidTr="00AB1BB6">
        <w:trPr>
          <w:trHeight w:val="564"/>
        </w:trPr>
        <w:tc>
          <w:tcPr>
            <w:tcW w:w="4110" w:type="dxa"/>
          </w:tcPr>
          <w:p w14:paraId="63163103" w14:textId="4DFBF5FE" w:rsidR="006E52B2" w:rsidRDefault="006E52B2" w:rsidP="006E52B2">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6D997DBF" w:rsidR="006E52B2" w:rsidRPr="00AB2A76" w:rsidRDefault="006E52B2" w:rsidP="006E52B2">
            <w:r>
              <w:t>Ne</w:t>
            </w:r>
          </w:p>
        </w:tc>
      </w:tr>
      <w:tr w:rsidR="006E52B2" w14:paraId="384BE381" w14:textId="77777777" w:rsidTr="00AB1BB6">
        <w:trPr>
          <w:trHeight w:val="1681"/>
        </w:trPr>
        <w:tc>
          <w:tcPr>
            <w:tcW w:w="4110" w:type="dxa"/>
          </w:tcPr>
          <w:p w14:paraId="3E5757B4" w14:textId="14513119" w:rsidR="006E52B2" w:rsidRDefault="006E52B2" w:rsidP="006E52B2">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4535E23B" w:rsidR="006E52B2" w:rsidRPr="00AB2A76" w:rsidRDefault="006E52B2" w:rsidP="006E52B2">
            <w:r>
              <w:t>_</w:t>
            </w:r>
          </w:p>
        </w:tc>
      </w:tr>
      <w:tr w:rsidR="006E52B2" w14:paraId="7A176F51" w14:textId="77777777" w:rsidTr="00AB1BB6">
        <w:trPr>
          <w:trHeight w:val="564"/>
        </w:trPr>
        <w:tc>
          <w:tcPr>
            <w:tcW w:w="4110" w:type="dxa"/>
          </w:tcPr>
          <w:p w14:paraId="526397EA" w14:textId="58105ECC" w:rsidR="006E52B2" w:rsidRDefault="006E52B2" w:rsidP="006E52B2">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6736304C" w:rsidR="006E52B2" w:rsidRPr="00AB2A76" w:rsidRDefault="006E52B2" w:rsidP="006E52B2">
            <w:r>
              <w:t>Automatiškai apskaičiuojamas stebėsenos rodiklis</w:t>
            </w:r>
          </w:p>
        </w:tc>
      </w:tr>
      <w:tr w:rsidR="006E52B2" w14:paraId="1C2475F0" w14:textId="77777777" w:rsidTr="00AB1BB6">
        <w:trPr>
          <w:trHeight w:val="1128"/>
        </w:trPr>
        <w:tc>
          <w:tcPr>
            <w:tcW w:w="4110" w:type="dxa"/>
          </w:tcPr>
          <w:p w14:paraId="701672CE" w14:textId="496EF98F" w:rsidR="006E52B2" w:rsidRDefault="006E52B2" w:rsidP="006E52B2">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6BA49085" w:rsidR="006E52B2" w:rsidRPr="00AB2A76" w:rsidRDefault="006E52B2" w:rsidP="006E52B2">
            <w:r>
              <w:t>Kiekvienais kalendoriniais metais užsakomosios apklausos metu apklausiama ne mažiau nei 2000 (du tūkstančiai) skirtingo išsilavinimo ir amžiaus Lietuvos gyventojų iš įvairių Lietuvos vietovių. Tyrime naudojamas standartizuotas klausimynas, užsakomojo tyrimo teikėjas, atlikęs tyrimą, parenka atitinkamą metodiką.</w:t>
            </w:r>
          </w:p>
        </w:tc>
      </w:tr>
      <w:tr w:rsidR="006E52B2" w14:paraId="3AA10008" w14:textId="77777777" w:rsidTr="00AB1BB6">
        <w:trPr>
          <w:trHeight w:val="1128"/>
        </w:trPr>
        <w:tc>
          <w:tcPr>
            <w:tcW w:w="4110" w:type="dxa"/>
          </w:tcPr>
          <w:p w14:paraId="3DCD3A46" w14:textId="6B4D3579" w:rsidR="006E52B2" w:rsidRDefault="006E52B2" w:rsidP="006E52B2">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474D1B8D" w:rsidR="006E52B2" w:rsidRPr="00AB2A76" w:rsidRDefault="006E52B2" w:rsidP="006E52B2">
            <w:r>
              <w:t>Kasmetinis užsakomasis Lietuvos  visuomenės nuomonės (gyventojų - fizinių asmenų) kiekybinis tyrimas, siekiant įvertinti Valstybinės teritorijų planavimo ir statybos inspekcijos prie Aplinkos ministerijos įvaizdį viešojoje erdvėje.</w:t>
            </w:r>
          </w:p>
        </w:tc>
      </w:tr>
      <w:tr w:rsidR="006E52B2" w14:paraId="3DCF3025" w14:textId="77777777" w:rsidTr="00AB1BB6">
        <w:trPr>
          <w:trHeight w:val="564"/>
        </w:trPr>
        <w:tc>
          <w:tcPr>
            <w:tcW w:w="4110" w:type="dxa"/>
          </w:tcPr>
          <w:p w14:paraId="4D8AFD76" w14:textId="5D81A0FC" w:rsidR="006E52B2" w:rsidRDefault="006E52B2" w:rsidP="006E52B2">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0D81CC3D" w:rsidR="006E52B2" w:rsidRPr="00AB2A76" w:rsidRDefault="006E52B2" w:rsidP="006E52B2">
            <w:r>
              <w:t>kas metus</w:t>
            </w:r>
          </w:p>
        </w:tc>
      </w:tr>
      <w:tr w:rsidR="006E52B2" w14:paraId="3BC7B4EA" w14:textId="77777777" w:rsidTr="00C25107">
        <w:trPr>
          <w:trHeight w:val="282"/>
        </w:trPr>
        <w:tc>
          <w:tcPr>
            <w:tcW w:w="4110" w:type="dxa"/>
          </w:tcPr>
          <w:p w14:paraId="5076C9F7" w14:textId="7FC158F7" w:rsidR="006E52B2" w:rsidRDefault="006E52B2" w:rsidP="006E52B2">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55C52062" w:rsidR="006E52B2" w:rsidRPr="00AB2A76" w:rsidRDefault="006E52B2" w:rsidP="006E52B2">
            <w:r>
              <w:t>Stebėsenos rodiklis laikomas pasiektu, kai metinė rodiklio  reikšmė sutampa ar viršija planinę rodiklio metinę reikšmę.</w:t>
            </w:r>
          </w:p>
        </w:tc>
      </w:tr>
      <w:tr w:rsidR="006E52B2" w14:paraId="072BA5B9" w14:textId="77777777" w:rsidTr="00AB1BB6">
        <w:trPr>
          <w:trHeight w:val="552"/>
        </w:trPr>
        <w:tc>
          <w:tcPr>
            <w:tcW w:w="4110" w:type="dxa"/>
          </w:tcPr>
          <w:p w14:paraId="77745789" w14:textId="1F799BA4" w:rsidR="006E52B2" w:rsidRDefault="006E52B2" w:rsidP="006E52B2">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49E93096" w:rsidR="006E52B2" w:rsidRPr="00AB2A76" w:rsidRDefault="006E52B2" w:rsidP="006E52B2">
            <w:r>
              <w:t>Valstybinė teritorijų planavimo ir statybos inspekcija prie Aplinkos ministerijos (VTPSI)</w:t>
            </w:r>
          </w:p>
        </w:tc>
      </w:tr>
      <w:tr w:rsidR="006E52B2" w14:paraId="635D4173" w14:textId="77777777" w:rsidTr="00C25107">
        <w:trPr>
          <w:trHeight w:val="846"/>
        </w:trPr>
        <w:tc>
          <w:tcPr>
            <w:tcW w:w="4110" w:type="dxa"/>
            <w:tcBorders>
              <w:bottom w:val="single" w:sz="4" w:space="0" w:color="auto"/>
              <w:right w:val="single" w:sz="4" w:space="0" w:color="auto"/>
            </w:tcBorders>
          </w:tcPr>
          <w:p w14:paraId="3081651A" w14:textId="27D8D18A" w:rsidR="006E52B2" w:rsidRDefault="006E52B2" w:rsidP="006E52B2">
            <w:r w:rsidRPr="002956E2">
              <w:t>Įstaigos padalinys ir kontaktinis telefono numeris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F106771" w14:textId="7B3102EF" w:rsidR="006E52B2" w:rsidRPr="00AB2A76" w:rsidRDefault="006E52B2" w:rsidP="006E52B2">
            <w:r w:rsidRPr="006E52B2">
              <w:t>Valstybinė teritorijų planavimo ir statybos inspekcija prie Aplinkos ministerijos (VTPSI)</w:t>
            </w:r>
            <w:r>
              <w:t>, tel.37069363478</w:t>
            </w:r>
          </w:p>
        </w:tc>
      </w:tr>
      <w:tr w:rsidR="006E52B2" w14:paraId="616A13C1" w14:textId="77777777" w:rsidTr="00C25107">
        <w:trPr>
          <w:trHeight w:val="282"/>
        </w:trPr>
        <w:tc>
          <w:tcPr>
            <w:tcW w:w="4110" w:type="dxa"/>
            <w:tcBorders>
              <w:top w:val="single" w:sz="4" w:space="0" w:color="auto"/>
              <w:right w:val="single" w:sz="4" w:space="0" w:color="auto"/>
            </w:tcBorders>
          </w:tcPr>
          <w:p w14:paraId="0BA4CC18" w14:textId="35E2E075" w:rsidR="006E52B2" w:rsidRDefault="006E52B2" w:rsidP="006E52B2">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7B61C578" w:rsidR="006E52B2" w:rsidRPr="00AB2A76" w:rsidRDefault="006E52B2" w:rsidP="006E52B2">
            <w:r>
              <w:t>_-</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6EC8"/>
    <w:rsid w:val="000226B9"/>
    <w:rsid w:val="00032D88"/>
    <w:rsid w:val="0003487C"/>
    <w:rsid w:val="000365E5"/>
    <w:rsid w:val="000368FF"/>
    <w:rsid w:val="000408DB"/>
    <w:rsid w:val="0004368B"/>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63ED2"/>
    <w:rsid w:val="002659B8"/>
    <w:rsid w:val="002744C6"/>
    <w:rsid w:val="002941B6"/>
    <w:rsid w:val="002A0DF6"/>
    <w:rsid w:val="002D38E9"/>
    <w:rsid w:val="002D731C"/>
    <w:rsid w:val="002E32B1"/>
    <w:rsid w:val="002E3BE3"/>
    <w:rsid w:val="002E6EFA"/>
    <w:rsid w:val="002F0A0B"/>
    <w:rsid w:val="002F7999"/>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E3F93"/>
    <w:rsid w:val="007F006B"/>
    <w:rsid w:val="007F5002"/>
    <w:rsid w:val="00817866"/>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70EC0"/>
    <w:rsid w:val="00976236"/>
    <w:rsid w:val="00981F32"/>
    <w:rsid w:val="00991B7B"/>
    <w:rsid w:val="009A3F75"/>
    <w:rsid w:val="009B1014"/>
    <w:rsid w:val="009C7011"/>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80F5C"/>
    <w:rsid w:val="00C85DF2"/>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B2756"/>
    <w:rsid w:val="00DC35F2"/>
    <w:rsid w:val="00DD23E4"/>
    <w:rsid w:val="00DD2A9B"/>
    <w:rsid w:val="00DD4CB7"/>
    <w:rsid w:val="00DE0904"/>
    <w:rsid w:val="00DF7DF3"/>
    <w:rsid w:val="00DF7F8B"/>
    <w:rsid w:val="00E01701"/>
    <w:rsid w:val="00E03F77"/>
    <w:rsid w:val="00E0454F"/>
    <w:rsid w:val="00E06A87"/>
    <w:rsid w:val="00E13570"/>
    <w:rsid w:val="00E209DE"/>
    <w:rsid w:val="00E226D7"/>
    <w:rsid w:val="00E533CD"/>
    <w:rsid w:val="00E65921"/>
    <w:rsid w:val="00E73D49"/>
    <w:rsid w:val="00E87253"/>
    <w:rsid w:val="00E93406"/>
    <w:rsid w:val="00EB4379"/>
    <w:rsid w:val="00ED2A2F"/>
    <w:rsid w:val="00EE13F0"/>
    <w:rsid w:val="00EE4520"/>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1143</Words>
  <Characters>652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140</cp:revision>
  <dcterms:created xsi:type="dcterms:W3CDTF">2024-05-29T15:47:00Z</dcterms:created>
  <dcterms:modified xsi:type="dcterms:W3CDTF">2024-05-30T14:17:00Z</dcterms:modified>
</cp:coreProperties>
</file>