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0408DB" w14:paraId="553D733D" w14:textId="77777777" w:rsidTr="00AB1BB6">
        <w:trPr>
          <w:trHeight w:val="846"/>
        </w:trPr>
        <w:tc>
          <w:tcPr>
            <w:tcW w:w="4110" w:type="dxa"/>
          </w:tcPr>
          <w:p w14:paraId="6BE3DD07" w14:textId="1D708585" w:rsidR="000408DB" w:rsidRDefault="000408DB" w:rsidP="000408DB">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6CFC2262" w:rsidR="000408DB" w:rsidRPr="00AB2A76" w:rsidRDefault="000408DB" w:rsidP="000408DB">
            <w:r>
              <w:t xml:space="preserve">Sutaupytas suminis galutinės energijos kiekis (skaičiuojamųjų šiluminės energijos sąnaudų sumažėjimas daugiabučiuose namuose, pastatytuose pagal galiojusius iki 1993 metų statybos techninius normatyvus (nuo 2005 metų) </w:t>
            </w:r>
          </w:p>
        </w:tc>
      </w:tr>
      <w:tr w:rsidR="000408DB" w14:paraId="0E021A60" w14:textId="77777777" w:rsidTr="00AB1BB6">
        <w:trPr>
          <w:trHeight w:val="269"/>
        </w:trPr>
        <w:tc>
          <w:tcPr>
            <w:tcW w:w="4110" w:type="dxa"/>
          </w:tcPr>
          <w:p w14:paraId="317ADEB3" w14:textId="3A1E9447" w:rsidR="000408DB" w:rsidRDefault="000408DB" w:rsidP="000408DB">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205CCE2D" w:rsidR="000408DB" w:rsidRPr="00AB2A76" w:rsidRDefault="000408DB" w:rsidP="000408DB">
            <w:r>
              <w:t>GWh</w:t>
            </w:r>
          </w:p>
        </w:tc>
      </w:tr>
      <w:tr w:rsidR="000408DB" w14:paraId="3BB3FAEB" w14:textId="77777777" w:rsidTr="00AB1BB6">
        <w:trPr>
          <w:trHeight w:val="282"/>
        </w:trPr>
        <w:tc>
          <w:tcPr>
            <w:tcW w:w="4110" w:type="dxa"/>
          </w:tcPr>
          <w:p w14:paraId="01BA8A27" w14:textId="1105FB0B" w:rsidR="000408DB" w:rsidRDefault="000408DB" w:rsidP="000408DB">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74A847CB" w:rsidR="000408DB" w:rsidRPr="00AB2A76" w:rsidRDefault="000408DB" w:rsidP="000408DB">
            <w:r>
              <w:t>Didėjimas</w:t>
            </w:r>
          </w:p>
        </w:tc>
      </w:tr>
      <w:tr w:rsidR="000408DB" w14:paraId="02618A85" w14:textId="77777777" w:rsidTr="00AB1BB6">
        <w:trPr>
          <w:trHeight w:val="282"/>
        </w:trPr>
        <w:tc>
          <w:tcPr>
            <w:tcW w:w="4110" w:type="dxa"/>
          </w:tcPr>
          <w:p w14:paraId="02ADD13B" w14:textId="1C9DC65E" w:rsidR="000408DB" w:rsidRDefault="000408DB" w:rsidP="000408DB">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380DC957" w:rsidR="000408DB" w:rsidRPr="00AB2A76" w:rsidRDefault="000408DB" w:rsidP="000408DB">
            <w:r>
              <w:t>Skaitinės</w:t>
            </w:r>
          </w:p>
        </w:tc>
      </w:tr>
      <w:tr w:rsidR="000408DB" w14:paraId="0E794FF7" w14:textId="77777777" w:rsidTr="00AB1BB6">
        <w:trPr>
          <w:trHeight w:val="282"/>
        </w:trPr>
        <w:tc>
          <w:tcPr>
            <w:tcW w:w="4110" w:type="dxa"/>
          </w:tcPr>
          <w:p w14:paraId="730BC1FE" w14:textId="1A376D23" w:rsidR="000408DB" w:rsidRDefault="000408DB" w:rsidP="000408DB">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7121BE16" w:rsidR="000408DB" w:rsidRPr="00AB2A76" w:rsidRDefault="000408DB" w:rsidP="000408DB">
            <w:r>
              <w:t>Poveikio</w:t>
            </w:r>
          </w:p>
        </w:tc>
      </w:tr>
      <w:tr w:rsidR="000408DB" w14:paraId="503D84A3" w14:textId="77777777" w:rsidTr="00AB1BB6">
        <w:trPr>
          <w:trHeight w:val="282"/>
        </w:trPr>
        <w:tc>
          <w:tcPr>
            <w:tcW w:w="4110" w:type="dxa"/>
          </w:tcPr>
          <w:p w14:paraId="5EFD79DD" w14:textId="6FF857A8" w:rsidR="000408DB" w:rsidRDefault="000408DB" w:rsidP="000408DB">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1C37A9BD" w:rsidR="000408DB" w:rsidRPr="00AB2A76" w:rsidRDefault="000408DB" w:rsidP="000408DB">
            <w:r>
              <w:t>E-02-001-13-02-01</w:t>
            </w:r>
            <w:r w:rsidR="00F25AAB">
              <w:t xml:space="preserve">; </w:t>
            </w:r>
            <w:r w:rsidR="00F25AAB">
              <w:t>E-02-001-13-02</w:t>
            </w:r>
            <w:r w:rsidR="00F25AAB">
              <w:t xml:space="preserve"> </w:t>
            </w:r>
          </w:p>
        </w:tc>
      </w:tr>
      <w:tr w:rsidR="000408DB" w14:paraId="2878D385" w14:textId="77777777" w:rsidTr="00AB1BB6">
        <w:trPr>
          <w:trHeight w:val="564"/>
        </w:trPr>
        <w:tc>
          <w:tcPr>
            <w:tcW w:w="4110" w:type="dxa"/>
          </w:tcPr>
          <w:p w14:paraId="63163103" w14:textId="4DFBF5FE" w:rsidR="000408DB" w:rsidRDefault="000408DB" w:rsidP="000408DB">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3A6FF74A" w:rsidR="000408DB" w:rsidRPr="00AB2A76" w:rsidRDefault="000408DB" w:rsidP="000408DB">
            <w:r>
              <w:t>Ne</w:t>
            </w:r>
          </w:p>
        </w:tc>
      </w:tr>
      <w:tr w:rsidR="000408DB" w14:paraId="384BE381" w14:textId="77777777" w:rsidTr="00AB1BB6">
        <w:trPr>
          <w:trHeight w:val="1681"/>
        </w:trPr>
        <w:tc>
          <w:tcPr>
            <w:tcW w:w="4110" w:type="dxa"/>
          </w:tcPr>
          <w:p w14:paraId="3E5757B4" w14:textId="14513119" w:rsidR="000408DB" w:rsidRDefault="000408DB" w:rsidP="000408DB">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5209E90C" w:rsidR="000408DB" w:rsidRPr="00AB2A76" w:rsidRDefault="000408DB" w:rsidP="000408DB">
            <w:r>
              <w:t xml:space="preserve">Stebėsenos rodiklis nustatomas pagal suminių skaičiuojamųjų šiluminės energijos sąnaudų sumažėjimą per ataskaitinį laikotarpį (nuo 2005 metų) daugiabučiuose namuose, pastatytuose pagal galiojusius iki 1993 metų statybos techninius normatyvus, įvertinus įgyvendintus projektus, finansuojamus pagal Daugiabučių namų atnaujinimo (modernizavimo) programą. </w:t>
            </w:r>
          </w:p>
        </w:tc>
      </w:tr>
      <w:tr w:rsidR="000408DB" w14:paraId="7A176F51" w14:textId="77777777" w:rsidTr="00AB1BB6">
        <w:trPr>
          <w:trHeight w:val="564"/>
        </w:trPr>
        <w:tc>
          <w:tcPr>
            <w:tcW w:w="4110" w:type="dxa"/>
          </w:tcPr>
          <w:p w14:paraId="526397EA" w14:textId="58105ECC" w:rsidR="000408DB" w:rsidRDefault="000408DB" w:rsidP="000408DB">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2D257D38" w:rsidR="000408DB" w:rsidRPr="00AB2A76" w:rsidRDefault="000408DB" w:rsidP="000408DB">
            <w:r>
              <w:t>Įvedamasis stebėsenos rodiklis</w:t>
            </w:r>
          </w:p>
        </w:tc>
      </w:tr>
      <w:tr w:rsidR="000408DB" w14:paraId="1C2475F0" w14:textId="77777777" w:rsidTr="00AB1BB6">
        <w:trPr>
          <w:trHeight w:val="1128"/>
        </w:trPr>
        <w:tc>
          <w:tcPr>
            <w:tcW w:w="4110" w:type="dxa"/>
          </w:tcPr>
          <w:p w14:paraId="701672CE" w14:textId="496EF98F" w:rsidR="000408DB" w:rsidRDefault="000408DB" w:rsidP="000408DB">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79B21F06" w:rsidR="000408DB" w:rsidRPr="00AB2A76" w:rsidRDefault="000408DB" w:rsidP="000408DB">
            <w:r>
              <w:t xml:space="preserve">Stebėsenos rodiklis apskaičiuojamas renkant ir vertinant duomenis apie įgyvendintus projektus ir energiją taupančias priemones. Daugiabučių namų atnaujinimo (modernizavimo) programoje (toliau – Programa)  apie planuojamus sutaupymus yra nurodoma, kad skaičiavimams daromos prielaidos, jog įgyvendinus vieną projektą bus sutaupyta vidutiniškai 0,2 GWh šiluminės energijos, o įgyvendinus vieną priemonę – 0,02 GWh šiluminės energijos per metus.  </w:t>
            </w:r>
            <w:r>
              <w:br/>
              <w:t xml:space="preserve">Skaičiuojant sutaupytą GWh po projektų užbaigimo imami skaičiuojamieji šiluminės energijos šildymui ir karštam vandeniui duomenys iš energinio naudingumo sertifikatų prieš renovaciją ir po renovacijos, o gautas skirtumas padauginamas iš daugiabučio namo naudingojo ir kitų patalpų bendro ploto. Gautas skaičius dalinamas iš 1 000 000, norit skaitinę reikšmę paversti į GWh, nes energiniuose naudingumo sertifikatuose pateikiami duomenys KWh. </w:t>
            </w:r>
          </w:p>
        </w:tc>
      </w:tr>
      <w:tr w:rsidR="000408DB" w14:paraId="3AA10008" w14:textId="77777777" w:rsidTr="00AB1BB6">
        <w:trPr>
          <w:trHeight w:val="1128"/>
        </w:trPr>
        <w:tc>
          <w:tcPr>
            <w:tcW w:w="4110" w:type="dxa"/>
          </w:tcPr>
          <w:p w14:paraId="3DCD3A46" w14:textId="6B4D3579" w:rsidR="000408DB" w:rsidRDefault="000408DB" w:rsidP="000408DB">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2A26D319" w:rsidR="000408DB" w:rsidRPr="00AB2A76" w:rsidRDefault="000408DB" w:rsidP="000408DB">
            <w:r>
              <w:t xml:space="preserve">Pirminis duomenų šaltinis: </w:t>
            </w:r>
            <w:r>
              <w:br/>
              <w:t xml:space="preserve">- Aplinkos projektų valdymo agentūros išvadų sąvadas, parengtas pagal Aplinkos projektų valdymo informacinėje sistemoje (APVIS) suvestą informaciją iš energinio naudingumo sertifikatų; </w:t>
            </w:r>
            <w:r>
              <w:br/>
              <w:t xml:space="preserve">- Valstybinės teritorijų planavimo ir statybos inspekcijos Lietuvos Respublikos teisės aktų nustatyta tvarka išduoti statybos užbaigimo aktai. </w:t>
            </w:r>
            <w:r>
              <w:br/>
              <w:t xml:space="preserve">Antrinis duomenų šaltinis – veiklos ataskaita/ataskaitos. </w:t>
            </w:r>
          </w:p>
        </w:tc>
      </w:tr>
      <w:tr w:rsidR="000408DB" w14:paraId="3DCF3025" w14:textId="77777777" w:rsidTr="00AB1BB6">
        <w:trPr>
          <w:trHeight w:val="564"/>
        </w:trPr>
        <w:tc>
          <w:tcPr>
            <w:tcW w:w="4110" w:type="dxa"/>
          </w:tcPr>
          <w:p w14:paraId="4D8AFD76" w14:textId="5D81A0FC" w:rsidR="000408DB" w:rsidRDefault="000408DB" w:rsidP="000408DB">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123B9E40" w:rsidR="000408DB" w:rsidRPr="00AB2A76" w:rsidRDefault="000408DB" w:rsidP="000408DB">
            <w:r>
              <w:t>Kartą per kalendorinius metus.</w:t>
            </w:r>
          </w:p>
        </w:tc>
      </w:tr>
      <w:tr w:rsidR="000408DB" w14:paraId="3BC7B4EA" w14:textId="77777777" w:rsidTr="00AB1BB6">
        <w:trPr>
          <w:trHeight w:val="282"/>
        </w:trPr>
        <w:tc>
          <w:tcPr>
            <w:tcW w:w="4110" w:type="dxa"/>
          </w:tcPr>
          <w:p w14:paraId="5076C9F7" w14:textId="7FC158F7" w:rsidR="000408DB" w:rsidRDefault="000408DB" w:rsidP="000408DB">
            <w:r w:rsidRPr="002956E2">
              <w:lastRenderedPageBreak/>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7A05A678" w:rsidR="000408DB" w:rsidRPr="00AB2A76" w:rsidRDefault="000408DB" w:rsidP="000408DB">
            <w:r>
              <w:t xml:space="preserve">Kai yra atlikti visi investicijų plane numatyti rangos darbai yra gaunamas energinio naudingumo sertifikatas ir nustatyta tvarka yra surašytas bei Infostatybos portale užregistruotas statybos užbaigimo aktas. </w:t>
            </w:r>
          </w:p>
        </w:tc>
      </w:tr>
      <w:tr w:rsidR="000408DB" w14:paraId="072BA5B9" w14:textId="77777777" w:rsidTr="00AB1BB6">
        <w:trPr>
          <w:trHeight w:val="552"/>
        </w:trPr>
        <w:tc>
          <w:tcPr>
            <w:tcW w:w="4110" w:type="dxa"/>
          </w:tcPr>
          <w:p w14:paraId="77745789" w14:textId="1F799BA4" w:rsidR="000408DB" w:rsidRDefault="000408DB" w:rsidP="000408DB">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613ED934" w:rsidR="000408DB" w:rsidRPr="00AB2A76" w:rsidRDefault="000408DB" w:rsidP="000408DB">
            <w:r>
              <w:t>Lietuvos Respublikos aplinkos ministerijos Aplinkos projektų valdymo agentūra  (APVA)</w:t>
            </w:r>
          </w:p>
        </w:tc>
      </w:tr>
      <w:tr w:rsidR="000408DB" w14:paraId="635D4173" w14:textId="77777777" w:rsidTr="00AB1BB6">
        <w:trPr>
          <w:trHeight w:val="846"/>
        </w:trPr>
        <w:tc>
          <w:tcPr>
            <w:tcW w:w="4110" w:type="dxa"/>
            <w:tcBorders>
              <w:right w:val="single" w:sz="4" w:space="0" w:color="auto"/>
            </w:tcBorders>
          </w:tcPr>
          <w:p w14:paraId="3081651A" w14:textId="27D8D18A" w:rsidR="000408DB" w:rsidRDefault="000408DB" w:rsidP="000408DB">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2D2E42D6" w:rsidR="000408DB" w:rsidRPr="00AB2A76" w:rsidRDefault="000408DB" w:rsidP="000408DB">
            <w:r>
              <w:t>Lietuvos Respublikos aplinkos ministerijos Aplinkos projektų valdymo agentūra  (APVA) tel.862088591</w:t>
            </w:r>
          </w:p>
        </w:tc>
      </w:tr>
      <w:tr w:rsidR="000408DB" w14:paraId="616A13C1" w14:textId="77777777" w:rsidTr="00AB1BB6">
        <w:trPr>
          <w:trHeight w:val="282"/>
        </w:trPr>
        <w:tc>
          <w:tcPr>
            <w:tcW w:w="4110" w:type="dxa"/>
          </w:tcPr>
          <w:p w14:paraId="0BA4CC18" w14:textId="35E2E075" w:rsidR="000408DB" w:rsidRDefault="000408DB" w:rsidP="000408DB">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7F4EE5BE" w:rsidR="000408DB" w:rsidRPr="00AB2A76" w:rsidRDefault="000408DB" w:rsidP="000408DB">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408DB"/>
    <w:rsid w:val="00083F5A"/>
    <w:rsid w:val="000B68C0"/>
    <w:rsid w:val="000C2D01"/>
    <w:rsid w:val="000C33DC"/>
    <w:rsid w:val="000E6FA6"/>
    <w:rsid w:val="000F1DD2"/>
    <w:rsid w:val="001167DD"/>
    <w:rsid w:val="00165224"/>
    <w:rsid w:val="00165ADF"/>
    <w:rsid w:val="001670C7"/>
    <w:rsid w:val="00181887"/>
    <w:rsid w:val="00184A3F"/>
    <w:rsid w:val="001C4076"/>
    <w:rsid w:val="001E09A4"/>
    <w:rsid w:val="001F310E"/>
    <w:rsid w:val="001F711F"/>
    <w:rsid w:val="002003A7"/>
    <w:rsid w:val="0020206E"/>
    <w:rsid w:val="00214D36"/>
    <w:rsid w:val="00241D99"/>
    <w:rsid w:val="00247B72"/>
    <w:rsid w:val="002A0DF6"/>
    <w:rsid w:val="002E3BE3"/>
    <w:rsid w:val="002E6EFA"/>
    <w:rsid w:val="003149C3"/>
    <w:rsid w:val="00334E11"/>
    <w:rsid w:val="003747F8"/>
    <w:rsid w:val="0037662D"/>
    <w:rsid w:val="00396BC8"/>
    <w:rsid w:val="003A7FD5"/>
    <w:rsid w:val="003C5027"/>
    <w:rsid w:val="003F6469"/>
    <w:rsid w:val="00400466"/>
    <w:rsid w:val="00410A9F"/>
    <w:rsid w:val="004234DB"/>
    <w:rsid w:val="004247BF"/>
    <w:rsid w:val="00441CBC"/>
    <w:rsid w:val="00465523"/>
    <w:rsid w:val="00484841"/>
    <w:rsid w:val="00490470"/>
    <w:rsid w:val="0053155E"/>
    <w:rsid w:val="00566231"/>
    <w:rsid w:val="005A166D"/>
    <w:rsid w:val="005E698C"/>
    <w:rsid w:val="00603C1B"/>
    <w:rsid w:val="006605C4"/>
    <w:rsid w:val="0067000A"/>
    <w:rsid w:val="00677460"/>
    <w:rsid w:val="006A24E1"/>
    <w:rsid w:val="006E287D"/>
    <w:rsid w:val="006E5D7C"/>
    <w:rsid w:val="006F4938"/>
    <w:rsid w:val="00713205"/>
    <w:rsid w:val="007245CD"/>
    <w:rsid w:val="00730A67"/>
    <w:rsid w:val="0074474D"/>
    <w:rsid w:val="0076279A"/>
    <w:rsid w:val="00772A06"/>
    <w:rsid w:val="0077332B"/>
    <w:rsid w:val="007A2ED2"/>
    <w:rsid w:val="007B1FA8"/>
    <w:rsid w:val="007B638D"/>
    <w:rsid w:val="00817866"/>
    <w:rsid w:val="00855734"/>
    <w:rsid w:val="008773AA"/>
    <w:rsid w:val="0089190B"/>
    <w:rsid w:val="008C191F"/>
    <w:rsid w:val="00970EC0"/>
    <w:rsid w:val="00976236"/>
    <w:rsid w:val="00A16581"/>
    <w:rsid w:val="00A420BB"/>
    <w:rsid w:val="00A4308B"/>
    <w:rsid w:val="00A53C3C"/>
    <w:rsid w:val="00A77E16"/>
    <w:rsid w:val="00AB1BB6"/>
    <w:rsid w:val="00AB2A76"/>
    <w:rsid w:val="00AB58A2"/>
    <w:rsid w:val="00AC57DB"/>
    <w:rsid w:val="00AF0824"/>
    <w:rsid w:val="00B11CF1"/>
    <w:rsid w:val="00B24450"/>
    <w:rsid w:val="00B57B15"/>
    <w:rsid w:val="00B62F98"/>
    <w:rsid w:val="00B679A1"/>
    <w:rsid w:val="00B73F7C"/>
    <w:rsid w:val="00B76B48"/>
    <w:rsid w:val="00BD20F0"/>
    <w:rsid w:val="00BD2938"/>
    <w:rsid w:val="00BD29D3"/>
    <w:rsid w:val="00BE3F3B"/>
    <w:rsid w:val="00C0708F"/>
    <w:rsid w:val="00C36A1C"/>
    <w:rsid w:val="00C60452"/>
    <w:rsid w:val="00C6284E"/>
    <w:rsid w:val="00C960B3"/>
    <w:rsid w:val="00CE4388"/>
    <w:rsid w:val="00D01977"/>
    <w:rsid w:val="00D85826"/>
    <w:rsid w:val="00DB2756"/>
    <w:rsid w:val="00DD2A9B"/>
    <w:rsid w:val="00DE0904"/>
    <w:rsid w:val="00E01701"/>
    <w:rsid w:val="00E03F77"/>
    <w:rsid w:val="00E0454F"/>
    <w:rsid w:val="00E209DE"/>
    <w:rsid w:val="00E533CD"/>
    <w:rsid w:val="00EB4379"/>
    <w:rsid w:val="00ED2A2F"/>
    <w:rsid w:val="00F20BBB"/>
    <w:rsid w:val="00F25AAB"/>
    <w:rsid w:val="00FA2CFA"/>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3C1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3C1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3C1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03C1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3C1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03C1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3C1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3C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3C1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3C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3C1B"/>
    <w:rPr>
      <w:i/>
      <w:iCs/>
      <w:color w:val="404040" w:themeColor="text1" w:themeTint="BF"/>
    </w:rPr>
  </w:style>
  <w:style w:type="paragraph" w:styleId="Sraopastraipa">
    <w:name w:val="List Paragraph"/>
    <w:basedOn w:val="prastasis"/>
    <w:uiPriority w:val="34"/>
    <w:qFormat/>
    <w:rsid w:val="00603C1B"/>
    <w:pPr>
      <w:ind w:left="720"/>
      <w:contextualSpacing/>
    </w:pPr>
  </w:style>
  <w:style w:type="character" w:styleId="Rykuspabraukimas">
    <w:name w:val="Intense Emphasis"/>
    <w:basedOn w:val="Numatytasispastraiposriftas"/>
    <w:uiPriority w:val="21"/>
    <w:qFormat/>
    <w:rsid w:val="00603C1B"/>
    <w:rPr>
      <w:i/>
      <w:iCs/>
      <w:color w:val="0F4761" w:themeColor="accent1" w:themeShade="BF"/>
    </w:rPr>
  </w:style>
  <w:style w:type="paragraph" w:styleId="Iskirtacitata">
    <w:name w:val="Intense Quote"/>
    <w:basedOn w:val="prastasis"/>
    <w:next w:val="prastasis"/>
    <w:link w:val="IskirtacitataDiagrama"/>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3C1B"/>
    <w:rPr>
      <w:i/>
      <w:iCs/>
      <w:color w:val="0F4761" w:themeColor="accent1" w:themeShade="BF"/>
    </w:rPr>
  </w:style>
  <w:style w:type="character" w:styleId="Rykinuoroda">
    <w:name w:val="Intense Reference"/>
    <w:basedOn w:val="Numatytasispastraiposriftas"/>
    <w:uiPriority w:val="32"/>
    <w:qFormat/>
    <w:rsid w:val="00603C1B"/>
    <w:rPr>
      <w:b/>
      <w:bCs/>
      <w:smallCaps/>
      <w:color w:val="0F4761" w:themeColor="accent1" w:themeShade="BF"/>
      <w:spacing w:val="5"/>
    </w:rPr>
  </w:style>
  <w:style w:type="table" w:styleId="Lentelstinklelis">
    <w:name w:val="Table Grid"/>
    <w:basedOn w:val="prastojilente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362</Words>
  <Characters>2753</Characters>
  <Application>Microsoft Office Word</Application>
  <DocSecurity>0</DocSecurity>
  <Lines>131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Jolita Bočiarovienė</cp:lastModifiedBy>
  <cp:revision>57</cp:revision>
  <dcterms:created xsi:type="dcterms:W3CDTF">2024-05-29T15:47:00Z</dcterms:created>
  <dcterms:modified xsi:type="dcterms:W3CDTF">2024-06-25T12:37:00Z</dcterms:modified>
</cp:coreProperties>
</file>