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D9B" w14:textId="77777777" w:rsidR="006F7359" w:rsidRDefault="006F7359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967C045" wp14:editId="4C480E5A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563B" w14:textId="77777777" w:rsidR="0065731E" w:rsidRDefault="0065731E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44ACAC2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65731E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65731E">
        <w:rPr>
          <w:b/>
          <w:color w:val="000000"/>
          <w:szCs w:val="24"/>
          <w:lang w:eastAsia="lt-LT"/>
        </w:rPr>
        <w:t>ĮSAKYMAS</w:t>
      </w:r>
    </w:p>
    <w:p w14:paraId="5954B30C" w14:textId="35DD24BF" w:rsidR="00C27C16" w:rsidRPr="0065731E" w:rsidRDefault="00E576A7" w:rsidP="00E576A7">
      <w:pPr>
        <w:widowControl w:val="0"/>
        <w:suppressAutoHyphens/>
        <w:spacing w:line="276" w:lineRule="auto"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 w:rsidRPr="0065731E">
        <w:rPr>
          <w:b/>
          <w:color w:val="000000"/>
          <w:szCs w:val="24"/>
          <w:lang w:eastAsia="lt-LT"/>
        </w:rPr>
        <w:t>DĖL LIETUVOS RESPUBLIKOS APLINKOS MINISTRO 2023 M. GRUODŽIO 29 D. ĮSAKYMO NR. V-192 „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C27C16" w:rsidRPr="0065731E">
        <w:rPr>
          <w:b/>
          <w:szCs w:val="24"/>
        </w:rPr>
        <w:t xml:space="preserve">ATLIEKŲ PREVENCIJOS IR TVARKYMO PROGRAMOS LĖŠŲ 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>PASKIRSTYMO PRIEMONIŲ PLANO 2024</w:t>
      </w:r>
      <w:r w:rsidR="00C27C16" w:rsidRPr="0065731E">
        <w:rPr>
          <w:rFonts w:eastAsia="Calibri"/>
          <w:b/>
          <w:szCs w:val="24"/>
        </w:rPr>
        <w:t>–</w:t>
      </w:r>
      <w:r w:rsidR="00C27C16" w:rsidRPr="0065731E">
        <w:rPr>
          <w:rFonts w:eastAsia="Andale Sans UI" w:cs="Tahoma"/>
          <w:b/>
          <w:bCs/>
          <w:szCs w:val="24"/>
          <w:lang w:bidi="en-US"/>
        </w:rPr>
        <w:t>2025 METAMS PATVIRTINIMO</w:t>
      </w:r>
    </w:p>
    <w:p w14:paraId="7D4377D0" w14:textId="252ED141" w:rsidR="00E576A7" w:rsidRPr="00017438" w:rsidRDefault="00E576A7" w:rsidP="00E576A7">
      <w:pPr>
        <w:widowControl w:val="0"/>
        <w:suppressAutoHyphens/>
        <w:spacing w:line="276" w:lineRule="auto"/>
        <w:ind w:firstLine="567"/>
        <w:jc w:val="center"/>
        <w:rPr>
          <w:b/>
          <w:color w:val="000000"/>
          <w:szCs w:val="24"/>
          <w:lang w:eastAsia="lt-LT"/>
        </w:rPr>
      </w:pPr>
      <w:r w:rsidRPr="0065731E">
        <w:rPr>
          <w:b/>
          <w:color w:val="000000"/>
          <w:szCs w:val="24"/>
          <w:lang w:eastAsia="lt-LT"/>
        </w:rPr>
        <w:t>PAKEITIMO</w:t>
      </w:r>
      <w:r w:rsidRPr="00017438">
        <w:rPr>
          <w:b/>
          <w:color w:val="000000"/>
          <w:szCs w:val="24"/>
          <w:lang w:eastAsia="lt-LT"/>
        </w:rPr>
        <w:t xml:space="preserve"> 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65D80772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E576A7">
        <w:rPr>
          <w:color w:val="000000"/>
          <w:szCs w:val="24"/>
          <w:lang w:eastAsia="lt-LT"/>
        </w:rPr>
        <w:t>4</w:t>
      </w:r>
      <w:r w:rsidRPr="00017438">
        <w:rPr>
          <w:color w:val="000000"/>
          <w:szCs w:val="24"/>
          <w:lang w:eastAsia="lt-LT"/>
        </w:rPr>
        <w:t xml:space="preserve"> m.</w:t>
      </w:r>
      <w:r>
        <w:rPr>
          <w:color w:val="000000"/>
          <w:szCs w:val="24"/>
          <w:lang w:eastAsia="lt-LT"/>
        </w:rPr>
        <w:t xml:space="preserve"> </w:t>
      </w:r>
      <w:r w:rsidR="00AA16DE">
        <w:rPr>
          <w:color w:val="000000"/>
          <w:szCs w:val="24"/>
          <w:lang w:eastAsia="lt-LT"/>
        </w:rPr>
        <w:t>liepos 10</w:t>
      </w:r>
      <w:r w:rsidR="005970CC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AA16DE">
        <w:rPr>
          <w:color w:val="000000"/>
          <w:szCs w:val="24"/>
          <w:lang w:eastAsia="lt-LT"/>
        </w:rPr>
        <w:t>98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0"/>
    <w:p w14:paraId="5F0FE111" w14:textId="2966424B" w:rsidR="003E3775" w:rsidRDefault="00E576A7" w:rsidP="0065731E">
      <w:pPr>
        <w:spacing w:after="160" w:line="276" w:lineRule="auto"/>
        <w:ind w:firstLine="567"/>
        <w:jc w:val="both"/>
      </w:pPr>
      <w:r w:rsidRPr="0065731E">
        <w:t xml:space="preserve">P a k e i č i u </w:t>
      </w:r>
      <w:r w:rsidRPr="0065731E">
        <w:rPr>
          <w:rFonts w:eastAsia="Andale Sans UI"/>
          <w:spacing w:val="6"/>
          <w:szCs w:val="24"/>
          <w:lang w:bidi="en-US"/>
        </w:rPr>
        <w:t xml:space="preserve">Atliekų </w:t>
      </w:r>
      <w:r w:rsidRPr="0065731E">
        <w:rPr>
          <w:spacing w:val="6"/>
          <w:szCs w:val="24"/>
          <w:lang w:eastAsia="lt-LT"/>
        </w:rPr>
        <w:t xml:space="preserve">prevencijos ir tvarkymo programos </w:t>
      </w:r>
      <w:r w:rsidRPr="0065731E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65731E">
        <w:rPr>
          <w:spacing w:val="6"/>
          <w:szCs w:val="24"/>
          <w:lang w:eastAsia="lt-LT"/>
        </w:rPr>
        <w:t>2024</w:t>
      </w:r>
      <w:r w:rsidRPr="0065731E">
        <w:rPr>
          <w:rFonts w:eastAsia="Calibri"/>
          <w:b/>
          <w:szCs w:val="24"/>
        </w:rPr>
        <w:t>–</w:t>
      </w:r>
      <w:r w:rsidRPr="0065731E">
        <w:rPr>
          <w:rFonts w:eastAsia="Andale Sans UI"/>
          <w:spacing w:val="6"/>
          <w:szCs w:val="24"/>
          <w:lang w:bidi="en-US"/>
        </w:rPr>
        <w:t>2025 metams</w:t>
      </w:r>
      <w:r w:rsidRPr="0065731E">
        <w:t xml:space="preserve">, patvirtintą Lietuvos Respublikos aplinkos ministro 2023 m. gruodžio 29 d. įsakymu Nr. V-192 „Dėl </w:t>
      </w:r>
      <w:r w:rsidRPr="0065731E">
        <w:rPr>
          <w:rFonts w:eastAsia="Andale Sans UI"/>
          <w:spacing w:val="6"/>
          <w:szCs w:val="24"/>
          <w:lang w:bidi="en-US"/>
        </w:rPr>
        <w:t xml:space="preserve">Atliekų </w:t>
      </w:r>
      <w:r w:rsidRPr="0065731E">
        <w:rPr>
          <w:spacing w:val="6"/>
          <w:szCs w:val="24"/>
          <w:lang w:eastAsia="lt-LT"/>
        </w:rPr>
        <w:t xml:space="preserve">prevencijos ir tvarkymo programos </w:t>
      </w:r>
      <w:r w:rsidRPr="0065731E">
        <w:rPr>
          <w:rFonts w:eastAsia="Andale Sans UI"/>
          <w:spacing w:val="6"/>
          <w:szCs w:val="24"/>
          <w:lang w:bidi="en-US"/>
        </w:rPr>
        <w:t xml:space="preserve">lėšų paskirstymo priemonių plano </w:t>
      </w:r>
      <w:r w:rsidRPr="0065731E">
        <w:rPr>
          <w:spacing w:val="6"/>
          <w:szCs w:val="24"/>
          <w:lang w:eastAsia="lt-LT"/>
        </w:rPr>
        <w:t>2024</w:t>
      </w:r>
      <w:r w:rsidRPr="0065731E">
        <w:rPr>
          <w:rFonts w:eastAsia="Calibri"/>
          <w:b/>
          <w:szCs w:val="24"/>
        </w:rPr>
        <w:t>–</w:t>
      </w:r>
      <w:r w:rsidRPr="0065731E">
        <w:rPr>
          <w:rFonts w:eastAsia="Andale Sans UI"/>
          <w:spacing w:val="6"/>
          <w:szCs w:val="24"/>
          <w:lang w:bidi="en-US"/>
        </w:rPr>
        <w:t>2025 metams</w:t>
      </w:r>
      <w:r w:rsidRPr="0065731E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65731E">
        <w:t>patvirtinimo“, ir jį išdėstau nauja redakcija (pridedama).</w:t>
      </w:r>
    </w:p>
    <w:p w14:paraId="7AB0768E" w14:textId="77777777" w:rsidR="00E576A7" w:rsidRDefault="00E576A7" w:rsidP="00E576A7">
      <w:pPr>
        <w:spacing w:after="160" w:line="259" w:lineRule="auto"/>
        <w:ind w:firstLine="567"/>
        <w:rPr>
          <w:rFonts w:eastAsia="Andale Sans UI"/>
          <w:szCs w:val="24"/>
          <w:highlight w:val="yellow"/>
          <w:lang w:bidi="en-US"/>
        </w:rPr>
      </w:pPr>
    </w:p>
    <w:p w14:paraId="5C19DFC8" w14:textId="7B2A1B11" w:rsidR="00913965" w:rsidRDefault="003E3775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  <w:r w:rsidRPr="003E3775">
        <w:rPr>
          <w:rFonts w:eastAsia="Andale Sans UI"/>
          <w:szCs w:val="24"/>
          <w:lang w:bidi="en-US"/>
        </w:rPr>
        <w:t>Aplinkos ministras</w:t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  <w:t>Simonas Gentvilas</w:t>
      </w:r>
    </w:p>
    <w:p w14:paraId="195D67F8" w14:textId="2F6A5442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</w:p>
    <w:p w14:paraId="39B1D873" w14:textId="77777777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  <w:sectPr w:rsidR="006D7937" w:rsidSect="004D4C87">
          <w:headerReference w:type="default" r:id="rId12"/>
          <w:headerReference w:type="first" r:id="rId13"/>
          <w:pgSz w:w="11906" w:h="16838"/>
          <w:pgMar w:top="1276" w:right="567" w:bottom="1134" w:left="1701" w:header="567" w:footer="567" w:gutter="0"/>
          <w:cols w:space="1296"/>
          <w:titlePg/>
          <w:docGrid w:linePitch="360"/>
        </w:sectPr>
      </w:pPr>
    </w:p>
    <w:p w14:paraId="445D1DC8" w14:textId="1D1E1B5A" w:rsidR="008A3393" w:rsidRDefault="008D4DEC" w:rsidP="004D4C87">
      <w:pPr>
        <w:tabs>
          <w:tab w:val="left" w:pos="10773"/>
        </w:tabs>
        <w:ind w:left="10632" w:right="-456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4D4C87">
      <w:pPr>
        <w:tabs>
          <w:tab w:val="left" w:pos="10773"/>
        </w:tabs>
        <w:ind w:left="10632" w:right="-456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367DFDC0" w:rsidR="008A3393" w:rsidRDefault="004D4C87" w:rsidP="004D4C87">
      <w:pPr>
        <w:tabs>
          <w:tab w:val="left" w:pos="10632"/>
        </w:tabs>
        <w:ind w:left="10632" w:right="-456"/>
        <w:rPr>
          <w:szCs w:val="24"/>
        </w:rPr>
      </w:pPr>
      <w:r>
        <w:rPr>
          <w:szCs w:val="24"/>
        </w:rPr>
        <w:t xml:space="preserve">  </w:t>
      </w:r>
      <w:r w:rsidR="0065731E" w:rsidRPr="001F57A2">
        <w:rPr>
          <w:szCs w:val="24"/>
        </w:rPr>
        <w:t>202</w:t>
      </w:r>
      <w:r w:rsidR="0065731E">
        <w:rPr>
          <w:szCs w:val="24"/>
        </w:rPr>
        <w:t>3</w:t>
      </w:r>
      <w:r w:rsidR="0065731E" w:rsidRPr="001F57A2">
        <w:rPr>
          <w:szCs w:val="24"/>
        </w:rPr>
        <w:t xml:space="preserve"> </w:t>
      </w:r>
      <w:r w:rsidR="008A3393" w:rsidRPr="001F57A2">
        <w:rPr>
          <w:szCs w:val="24"/>
        </w:rPr>
        <w:t xml:space="preserve">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 w:rsidR="008A3393"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 w:rsidR="008A3393"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D304E0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b/>
                <w:bCs/>
                <w:szCs w:val="24"/>
                <w:lang w:eastAsia="lt-LT"/>
              </w:rPr>
              <w:t>E</w:t>
            </w:r>
            <w:r w:rsidRPr="00595D89">
              <w:rPr>
                <w:b/>
                <w:bCs/>
                <w:szCs w:val="24"/>
                <w:lang w:eastAsia="lt-LT"/>
              </w:rPr>
              <w:t>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7F95DCF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2024</w:t>
            </w:r>
            <w:r w:rsidRPr="00595D89">
              <w:rPr>
                <w:b/>
                <w:bCs/>
                <w:szCs w:val="24"/>
                <w:lang w:eastAsia="lt-LT"/>
              </w:rPr>
              <w:t xml:space="preserve">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0DC23A59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2025</w:t>
            </w:r>
            <w:r w:rsidRPr="00595D89">
              <w:rPr>
                <w:b/>
                <w:bCs/>
                <w:szCs w:val="24"/>
                <w:lang w:eastAsia="lt-LT"/>
              </w:rPr>
              <w:t>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012DD1" w:rsidRDefault="00B64A0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 xml:space="preserve">Atliekų </w:t>
            </w:r>
            <w:r w:rsidR="00595D89" w:rsidRPr="00012DD1">
              <w:rPr>
                <w:b/>
                <w:bCs/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CFB2D94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195 000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210D95D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004B13">
              <w:rPr>
                <w:color w:val="000000"/>
                <w:szCs w:val="24"/>
              </w:rPr>
              <w:t>palaiky</w:t>
            </w:r>
            <w:r w:rsidR="00B64A0C">
              <w:rPr>
                <w:color w:val="000000"/>
                <w:szCs w:val="24"/>
              </w:rPr>
              <w:t>ti</w:t>
            </w:r>
            <w:r w:rsidR="001F57A2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 xml:space="preserve">ir </w:t>
            </w:r>
            <w:r w:rsidR="00B64A0C" w:rsidRPr="00004B13">
              <w:rPr>
                <w:color w:val="000000"/>
                <w:szCs w:val="24"/>
              </w:rPr>
              <w:t>vysty</w:t>
            </w:r>
            <w:r w:rsidR="00B64A0C">
              <w:rPr>
                <w:color w:val="000000"/>
                <w:szCs w:val="24"/>
              </w:rPr>
              <w:t>ti</w:t>
            </w:r>
          </w:p>
        </w:tc>
        <w:tc>
          <w:tcPr>
            <w:tcW w:w="1843" w:type="dxa"/>
            <w:vAlign w:val="center"/>
          </w:tcPr>
          <w:p w14:paraId="738D01C4" w14:textId="3D098C20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0389A5DB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="00004B13"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58A1502D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vAlign w:val="center"/>
          </w:tcPr>
          <w:p w14:paraId="7C9FF06F" w14:textId="0B8CC0E7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1ED7D3F4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0AC87640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D304E0">
        <w:trPr>
          <w:trHeight w:val="548"/>
        </w:trPr>
        <w:tc>
          <w:tcPr>
            <w:tcW w:w="855" w:type="dxa"/>
            <w:vAlign w:val="center"/>
            <w:hideMark/>
          </w:tcPr>
          <w:p w14:paraId="3214621E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012DD1" w:rsidRDefault="00B64A0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 xml:space="preserve">Dotacijos </w:t>
            </w:r>
            <w:r w:rsidR="00595D89" w:rsidRPr="00012DD1">
              <w:rPr>
                <w:b/>
                <w:bCs/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45CB99A6" w:rsidR="00595D89" w:rsidRPr="00012DD1" w:rsidRDefault="00C53F76" w:rsidP="0065731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595D89" w:rsidRDefault="00595D89" w:rsidP="0065731E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D304E0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3AC2DA20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</w:t>
            </w:r>
            <w:r w:rsidR="00004B13" w:rsidRPr="00004B13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7603974D" w:rsidR="00004B13" w:rsidRPr="00004B13" w:rsidRDefault="00004B13" w:rsidP="0065731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</w:tcPr>
          <w:p w14:paraId="022278E9" w14:textId="7777777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V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012DD1">
              <w:rPr>
                <w:b/>
                <w:bCs/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012DD1" w:rsidRDefault="00C53F76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V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isuomenės </w:t>
            </w:r>
            <w:r w:rsidR="00B64A0C" w:rsidRPr="00012DD1">
              <w:rPr>
                <w:b/>
                <w:bCs/>
                <w:szCs w:val="24"/>
                <w:lang w:eastAsia="lt-LT"/>
              </w:rPr>
              <w:t xml:space="preserve">švietimas 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ir </w:t>
            </w:r>
            <w:r w:rsidR="00B64A0C" w:rsidRPr="00012DD1">
              <w:rPr>
                <w:b/>
                <w:bCs/>
                <w:szCs w:val="24"/>
                <w:lang w:eastAsia="lt-LT"/>
              </w:rPr>
              <w:t xml:space="preserve">informavimas </w:t>
            </w:r>
            <w:r w:rsidR="00595D89" w:rsidRPr="00012DD1">
              <w:rPr>
                <w:b/>
                <w:bCs/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05B0FE73" w:rsidR="00595D89" w:rsidRPr="00012DD1" w:rsidRDefault="00CD57CB" w:rsidP="0065731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59 </w:t>
            </w:r>
            <w:r w:rsidR="00C53F76" w:rsidRPr="00012DD1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14263088" w14:textId="77777777" w:rsidR="00595D89" w:rsidRPr="00595D89" w:rsidRDefault="00595D89" w:rsidP="0065731E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595D89" w:rsidRDefault="00595D89" w:rsidP="0065731E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5C5C4D74" w14:textId="547F74D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vAlign w:val="center"/>
          </w:tcPr>
          <w:p w14:paraId="5C14508D" w14:textId="2F939FD5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004B13" w:rsidRPr="00004B13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vAlign w:val="center"/>
          </w:tcPr>
          <w:p w14:paraId="12632344" w14:textId="60AD977D" w:rsidR="00004B13" w:rsidRPr="00004B13" w:rsidRDefault="00004B13" w:rsidP="0065731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vAlign w:val="center"/>
          </w:tcPr>
          <w:p w14:paraId="004CACB7" w14:textId="77777777" w:rsidR="00004B13" w:rsidRPr="00004B13" w:rsidRDefault="00004B13" w:rsidP="0065731E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88AA720" w14:textId="549D96D0" w:rsidR="00004B13" w:rsidRPr="00004B13" w:rsidRDefault="00004B13" w:rsidP="0065731E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CD57CB" w:rsidRPr="00004B13" w14:paraId="3FEBDC5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2918DD6A" w14:textId="114C98F1" w:rsidR="00CD57CB" w:rsidRPr="00004B13" w:rsidRDefault="00CD57CB" w:rsidP="00CD57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4.2.</w:t>
            </w:r>
          </w:p>
        </w:tc>
        <w:tc>
          <w:tcPr>
            <w:tcW w:w="6393" w:type="dxa"/>
            <w:vAlign w:val="center"/>
          </w:tcPr>
          <w:p w14:paraId="39F2FAC8" w14:textId="429420A1" w:rsidR="00CD57CB" w:rsidRDefault="00CD57CB" w:rsidP="00CD57CB">
            <w:pPr>
              <w:textAlignment w:val="baseline"/>
              <w:rPr>
                <w:szCs w:val="24"/>
                <w:lang w:eastAsia="lt-LT"/>
              </w:rPr>
            </w:pPr>
            <w:r w:rsidRPr="003E0160">
              <w:t>Konferencija apie pažangą Atliekų prevencijos ir tvarkymo sektoriuje</w:t>
            </w:r>
          </w:p>
        </w:tc>
        <w:tc>
          <w:tcPr>
            <w:tcW w:w="1843" w:type="dxa"/>
            <w:vAlign w:val="center"/>
          </w:tcPr>
          <w:p w14:paraId="398BAB3D" w14:textId="0A89D988" w:rsidR="00CD57CB" w:rsidRPr="00004B13" w:rsidRDefault="009A300E" w:rsidP="00CD57CB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en-GB"/>
              </w:rPr>
              <w:t>17 620</w:t>
            </w:r>
          </w:p>
        </w:tc>
        <w:tc>
          <w:tcPr>
            <w:tcW w:w="1845" w:type="dxa"/>
            <w:vAlign w:val="center"/>
          </w:tcPr>
          <w:p w14:paraId="3E35222B" w14:textId="77777777" w:rsidR="00CD57CB" w:rsidRPr="00004B13" w:rsidRDefault="00CD57CB" w:rsidP="00CD57CB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76CB1C0" w14:textId="7850561D" w:rsidR="00CD57CB" w:rsidRPr="00004B13" w:rsidRDefault="00CD57CB" w:rsidP="00CD57CB">
            <w:pPr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E25CEF" w:rsidRPr="00004B13" w14:paraId="6BBAD7AC" w14:textId="77777777" w:rsidTr="00C64322">
        <w:trPr>
          <w:trHeight w:val="270"/>
        </w:trPr>
        <w:tc>
          <w:tcPr>
            <w:tcW w:w="855" w:type="dxa"/>
            <w:vAlign w:val="center"/>
          </w:tcPr>
          <w:p w14:paraId="25C30227" w14:textId="40E928DF" w:rsidR="00E25CEF" w:rsidRPr="00D12859" w:rsidRDefault="00E25CEF" w:rsidP="00E25CEF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D12859">
              <w:rPr>
                <w:szCs w:val="24"/>
                <w:lang w:eastAsia="lt-LT"/>
              </w:rPr>
              <w:t>4.3.</w:t>
            </w:r>
          </w:p>
        </w:tc>
        <w:tc>
          <w:tcPr>
            <w:tcW w:w="6393" w:type="dxa"/>
            <w:vAlign w:val="bottom"/>
          </w:tcPr>
          <w:p w14:paraId="45365B39" w14:textId="2BB4B4C0" w:rsidR="00E25CEF" w:rsidRPr="00D12859" w:rsidRDefault="00E25CEF" w:rsidP="00E25CEF">
            <w:pPr>
              <w:textAlignment w:val="baseline"/>
            </w:pPr>
            <w:r w:rsidRPr="00D12859">
              <w:t xml:space="preserve">Plastiko vartojimo mažinimas: žingsnių iššūkis </w:t>
            </w:r>
            <w:r w:rsidR="00756AE4" w:rsidRPr="00D12859">
              <w:t>„</w:t>
            </w:r>
            <w:r w:rsidRPr="00D12859">
              <w:t>Žygiuok už švarią aplinką</w:t>
            </w:r>
            <w:r w:rsidR="00756AE4" w:rsidRPr="00D12859">
              <w:t>“</w:t>
            </w:r>
          </w:p>
        </w:tc>
        <w:tc>
          <w:tcPr>
            <w:tcW w:w="1843" w:type="dxa"/>
            <w:vAlign w:val="center"/>
          </w:tcPr>
          <w:p w14:paraId="5156775E" w14:textId="4A9E3983" w:rsidR="00E25CEF" w:rsidRPr="00D12859" w:rsidRDefault="00E25CEF" w:rsidP="00E25CEF">
            <w:pPr>
              <w:ind w:firstLine="60"/>
              <w:jc w:val="center"/>
              <w:textAlignment w:val="baseline"/>
              <w:rPr>
                <w:szCs w:val="24"/>
                <w:lang w:eastAsia="en-GB"/>
              </w:rPr>
            </w:pPr>
            <w:r w:rsidRPr="00D12859">
              <w:t>7 380</w:t>
            </w:r>
          </w:p>
        </w:tc>
        <w:tc>
          <w:tcPr>
            <w:tcW w:w="1845" w:type="dxa"/>
            <w:vAlign w:val="center"/>
          </w:tcPr>
          <w:p w14:paraId="7D2E2CEF" w14:textId="77777777" w:rsidR="00E25CEF" w:rsidRPr="00D12859" w:rsidRDefault="00E25CEF" w:rsidP="00E25CEF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F7EBA38" w14:textId="33114496" w:rsidR="00E25CEF" w:rsidRPr="00D12859" w:rsidRDefault="00E25CEF" w:rsidP="00E25CEF">
            <w:pPr>
              <w:textAlignment w:val="baseline"/>
              <w:rPr>
                <w:szCs w:val="24"/>
                <w:lang w:eastAsia="en-GB"/>
              </w:rPr>
            </w:pPr>
            <w:r w:rsidRPr="00D12859">
              <w:rPr>
                <w:szCs w:val="24"/>
                <w:lang w:eastAsia="en-GB"/>
              </w:rPr>
              <w:t>AM Strateginės komunikacijos skyrius</w:t>
            </w:r>
          </w:p>
        </w:tc>
      </w:tr>
      <w:tr w:rsidR="00595D89" w:rsidRPr="00595D89" w14:paraId="6C0AA5A3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M</w:t>
            </w:r>
            <w:r w:rsidR="00595D89" w:rsidRPr="00012DD1">
              <w:rPr>
                <w:b/>
                <w:bCs/>
                <w:szCs w:val="24"/>
                <w:lang w:eastAsia="lt-LT"/>
              </w:rPr>
              <w:t xml:space="preserve">okslo tiriamiesiems darbams, žiedinės ekonomikos, atliekų prevencijos ir tvarkymo srities taikomiesiems moksliniams </w:t>
            </w:r>
            <w:r w:rsidR="00595D89" w:rsidRPr="00012DD1">
              <w:rPr>
                <w:b/>
                <w:bCs/>
                <w:szCs w:val="24"/>
                <w:lang w:eastAsia="lt-LT"/>
              </w:rPr>
              <w:lastRenderedPageBreak/>
              <w:t>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1B26857B" w:rsidR="00595D89" w:rsidRPr="00012DD1" w:rsidRDefault="00CD57CB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118 370</w:t>
            </w:r>
          </w:p>
        </w:tc>
        <w:tc>
          <w:tcPr>
            <w:tcW w:w="1845" w:type="dxa"/>
            <w:hideMark/>
          </w:tcPr>
          <w:p w14:paraId="1F0794FF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8601854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21FD85B" w14:textId="5E5FEC37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5.2.</w:t>
            </w:r>
          </w:p>
        </w:tc>
        <w:tc>
          <w:tcPr>
            <w:tcW w:w="6393" w:type="dxa"/>
            <w:vAlign w:val="center"/>
          </w:tcPr>
          <w:p w14:paraId="7ABC0108" w14:textId="32E46D9E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="00B64A0C" w:rsidRPr="00004B13">
              <w:rPr>
                <w:color w:val="000000"/>
                <w:szCs w:val="24"/>
              </w:rPr>
              <w:t>kspert</w:t>
            </w:r>
            <w:r w:rsidR="00B64A0C">
              <w:rPr>
                <w:color w:val="000000"/>
                <w:szCs w:val="24"/>
              </w:rPr>
              <w:t>ų</w:t>
            </w:r>
            <w:r w:rsidR="00B64A0C"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 w:rsidR="00B64A0C"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vAlign w:val="center"/>
          </w:tcPr>
          <w:p w14:paraId="19809847" w14:textId="3CA7F2A8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</w:tcPr>
          <w:p w14:paraId="755EA5BF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B0974F1" w14:textId="37165C14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CD57CB" w:rsidRPr="00004B13" w14:paraId="306251E3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1FCCA35" w14:textId="45601B0B" w:rsidR="00CD57CB" w:rsidRPr="00004B13" w:rsidRDefault="00CD57CB" w:rsidP="00CD57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E0160">
              <w:rPr>
                <w:szCs w:val="24"/>
                <w:lang w:eastAsia="lt-LT"/>
              </w:rPr>
              <w:t>5.3.</w:t>
            </w:r>
          </w:p>
        </w:tc>
        <w:tc>
          <w:tcPr>
            <w:tcW w:w="6393" w:type="dxa"/>
            <w:vAlign w:val="center"/>
          </w:tcPr>
          <w:p w14:paraId="09E6485F" w14:textId="12FA61DF" w:rsidR="00CD57CB" w:rsidRDefault="00CD57CB" w:rsidP="00CD57CB">
            <w:pPr>
              <w:textAlignment w:val="baseline"/>
              <w:rPr>
                <w:color w:val="000000"/>
                <w:szCs w:val="24"/>
              </w:rPr>
            </w:pPr>
            <w:r w:rsidRPr="003E0160">
              <w:t>Inžinerinio geologinio (žvalgybinio) tyrimo Klaipėdos g., Ketvergiai, Dovilų sen., Klaipėdos r. sav. atlikimas, siekiant nustatyti buvusio sąvartyno ribas</w:t>
            </w:r>
          </w:p>
        </w:tc>
        <w:tc>
          <w:tcPr>
            <w:tcW w:w="1843" w:type="dxa"/>
            <w:vAlign w:val="center"/>
          </w:tcPr>
          <w:p w14:paraId="62731464" w14:textId="2A895891" w:rsidR="00CD57CB" w:rsidRPr="00004B13" w:rsidRDefault="00CD57CB" w:rsidP="00CD57CB">
            <w:pPr>
              <w:jc w:val="center"/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48 370</w:t>
            </w:r>
          </w:p>
        </w:tc>
        <w:tc>
          <w:tcPr>
            <w:tcW w:w="1845" w:type="dxa"/>
          </w:tcPr>
          <w:p w14:paraId="73E21CC9" w14:textId="77777777" w:rsidR="00CD57CB" w:rsidRPr="00004B13" w:rsidRDefault="00CD57CB" w:rsidP="00CD57CB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47750C4" w14:textId="7217811F" w:rsidR="00CD57CB" w:rsidRDefault="00CD57CB" w:rsidP="00CD57CB">
            <w:pPr>
              <w:rPr>
                <w:color w:val="000000"/>
                <w:szCs w:val="24"/>
              </w:rPr>
            </w:pPr>
            <w:r w:rsidRPr="003E0160">
              <w:rPr>
                <w:szCs w:val="24"/>
                <w:lang w:eastAsia="en-GB"/>
              </w:rPr>
              <w:t>Lietuvos geologijos tarnyba</w:t>
            </w:r>
          </w:p>
        </w:tc>
      </w:tr>
      <w:tr w:rsidR="00595D89" w:rsidRPr="00595D89" w14:paraId="119CC06A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012DD1" w:rsidRDefault="00595D89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P</w:t>
            </w:r>
            <w:r w:rsidR="00595D89" w:rsidRPr="00012DD1">
              <w:rPr>
                <w:b/>
                <w:bCs/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68B491A4" w:rsidR="00595D89" w:rsidRPr="00012DD1" w:rsidRDefault="00E90DB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</w:t>
            </w:r>
            <w:r w:rsidR="005970CC">
              <w:rPr>
                <w:b/>
                <w:bCs/>
                <w:szCs w:val="24"/>
                <w:lang w:eastAsia="lt-LT"/>
              </w:rPr>
              <w:t>9</w:t>
            </w:r>
            <w:r>
              <w:rPr>
                <w:b/>
                <w:bCs/>
                <w:szCs w:val="24"/>
                <w:lang w:eastAsia="lt-LT"/>
              </w:rPr>
              <w:t xml:space="preserve"> 450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0B217C3E" w14:textId="04ACF8F5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vAlign w:val="center"/>
          </w:tcPr>
          <w:p w14:paraId="1EA80D39" w14:textId="4DE1B0BB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vAlign w:val="center"/>
          </w:tcPr>
          <w:p w14:paraId="30100E1D" w14:textId="6AC2AC20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</w:tcPr>
          <w:p w14:paraId="72FA302B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0316E653" w14:textId="6FD73B36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14E2B8F4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B3986B5" w14:textId="28A5080D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6.2.</w:t>
            </w:r>
          </w:p>
        </w:tc>
        <w:tc>
          <w:tcPr>
            <w:tcW w:w="6393" w:type="dxa"/>
          </w:tcPr>
          <w:p w14:paraId="68F1C33D" w14:textId="790F852F" w:rsidR="00012DD1" w:rsidRPr="00CD57CB" w:rsidRDefault="00012DD1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GNSS imtuvo valdiklis</w:t>
            </w:r>
            <w:r w:rsidR="00F8756A" w:rsidRPr="00CD57CB">
              <w:t xml:space="preserve"> atlikti tiksliems matavimams</w:t>
            </w:r>
            <w:r w:rsidRPr="00CD57CB">
              <w:t>. Specialios paskirties stacionarus kompiuteris su monitoriumi, klaviatūra ir pele </w:t>
            </w:r>
          </w:p>
        </w:tc>
        <w:tc>
          <w:tcPr>
            <w:tcW w:w="1843" w:type="dxa"/>
            <w:vAlign w:val="center"/>
          </w:tcPr>
          <w:p w14:paraId="1DDBF42C" w14:textId="19F74A60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11</w:t>
            </w:r>
            <w:r w:rsidR="00BA52EC" w:rsidRPr="00CD57CB">
              <w:t xml:space="preserve"> </w:t>
            </w:r>
            <w:r w:rsidRPr="00CD57CB">
              <w:t>050</w:t>
            </w:r>
          </w:p>
        </w:tc>
        <w:tc>
          <w:tcPr>
            <w:tcW w:w="1845" w:type="dxa"/>
          </w:tcPr>
          <w:p w14:paraId="1A32FCE0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11BDC64" w14:textId="6E7B8FCF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301B06D9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93F29AC" w14:textId="17A8AE28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6.3.</w:t>
            </w:r>
          </w:p>
        </w:tc>
        <w:tc>
          <w:tcPr>
            <w:tcW w:w="6393" w:type="dxa"/>
          </w:tcPr>
          <w:p w14:paraId="372E8E8A" w14:textId="5E548DC7" w:rsidR="00012DD1" w:rsidRPr="00CD57CB" w:rsidRDefault="0065731E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GNSS imtuvo valdiklis atlikti tiksliems matavimams</w:t>
            </w:r>
            <w:r w:rsidR="00012DD1" w:rsidRPr="00CD57CB">
              <w:t xml:space="preserve">. </w:t>
            </w:r>
            <w:r w:rsidR="00925FB1" w:rsidRPr="00CD57CB">
              <w:t>T</w:t>
            </w:r>
            <w:r w:rsidR="00012DD1" w:rsidRPr="00CD57CB">
              <w:t>iksliems matavimams atlikti skirtas bepilotis orlaivis (dronas)</w:t>
            </w:r>
          </w:p>
        </w:tc>
        <w:tc>
          <w:tcPr>
            <w:tcW w:w="1843" w:type="dxa"/>
            <w:vAlign w:val="center"/>
          </w:tcPr>
          <w:p w14:paraId="101F22EC" w14:textId="1AC1DAE5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32</w:t>
            </w:r>
            <w:r w:rsidR="00BA52EC" w:rsidRPr="00CD57CB">
              <w:t xml:space="preserve"> </w:t>
            </w:r>
            <w:r w:rsidRPr="00CD57CB">
              <w:t>100</w:t>
            </w:r>
          </w:p>
        </w:tc>
        <w:tc>
          <w:tcPr>
            <w:tcW w:w="1845" w:type="dxa"/>
          </w:tcPr>
          <w:p w14:paraId="158B6299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F52372A" w14:textId="1548F209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012DD1" w:rsidRPr="00004B13" w14:paraId="0D40A010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729AEF8E" w14:textId="69883DD5" w:rsidR="00012DD1" w:rsidRPr="00CD57CB" w:rsidRDefault="00012DD1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6.4.</w:t>
            </w:r>
          </w:p>
        </w:tc>
        <w:tc>
          <w:tcPr>
            <w:tcW w:w="6393" w:type="dxa"/>
          </w:tcPr>
          <w:p w14:paraId="3CE51492" w14:textId="41088441" w:rsidR="00012DD1" w:rsidRPr="00CD57CB" w:rsidRDefault="00F8756A" w:rsidP="0065731E">
            <w:pPr>
              <w:textAlignment w:val="baseline"/>
              <w:rPr>
                <w:szCs w:val="24"/>
                <w:lang w:eastAsia="lt-LT"/>
              </w:rPr>
            </w:pPr>
            <w:r w:rsidRPr="00CD57CB">
              <w:t>Bepiločių orlaivių priedai</w:t>
            </w:r>
            <w:r w:rsidR="00012DD1" w:rsidRPr="00CD57CB">
              <w:t xml:space="preserve"> </w:t>
            </w:r>
            <w:r w:rsidRPr="00CD57CB">
              <w:t xml:space="preserve">tiksliems matavimams atlikti </w:t>
            </w:r>
            <w:r w:rsidR="00012DD1" w:rsidRPr="00CD57CB">
              <w:t xml:space="preserve">Programinė įranga bepiločiais orlaiviais pamatuotų </w:t>
            </w:r>
            <w:proofErr w:type="spellStart"/>
            <w:r w:rsidR="00012DD1" w:rsidRPr="00CD57CB">
              <w:t>fotogrametrinių</w:t>
            </w:r>
            <w:proofErr w:type="spellEnd"/>
            <w:r w:rsidR="00012DD1" w:rsidRPr="00CD57CB">
              <w:t xml:space="preserve"> </w:t>
            </w:r>
            <w:r w:rsidRPr="00CD57CB">
              <w:t>duomenų apdorojimui</w:t>
            </w:r>
          </w:p>
        </w:tc>
        <w:tc>
          <w:tcPr>
            <w:tcW w:w="1843" w:type="dxa"/>
            <w:vAlign w:val="center"/>
          </w:tcPr>
          <w:p w14:paraId="3B52F3CA" w14:textId="253E51C5" w:rsidR="00012DD1" w:rsidRPr="00CD57CB" w:rsidRDefault="00012DD1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t>13 300</w:t>
            </w:r>
          </w:p>
        </w:tc>
        <w:tc>
          <w:tcPr>
            <w:tcW w:w="1845" w:type="dxa"/>
          </w:tcPr>
          <w:p w14:paraId="785F628C" w14:textId="77777777" w:rsidR="00012DD1" w:rsidRPr="00CD57CB" w:rsidRDefault="00012DD1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E5490B6" w14:textId="2A7A043C" w:rsidR="00012DD1" w:rsidRPr="00CD57CB" w:rsidRDefault="00012DD1" w:rsidP="0065731E">
            <w:pPr>
              <w:rPr>
                <w:szCs w:val="24"/>
                <w:lang w:eastAsia="lt-LT"/>
              </w:rPr>
            </w:pPr>
            <w:r w:rsidRPr="00CD57CB">
              <w:rPr>
                <w:szCs w:val="24"/>
                <w:lang w:eastAsia="lt-LT"/>
              </w:rPr>
              <w:t>Aplinkos apsaugos departamentas</w:t>
            </w:r>
          </w:p>
        </w:tc>
      </w:tr>
      <w:tr w:rsidR="005970CC" w:rsidRPr="00595D89" w14:paraId="7379031C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64C5EF26" w14:textId="4DE5D34A" w:rsidR="005970CC" w:rsidRPr="004320CD" w:rsidRDefault="005970CC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4320CD">
              <w:rPr>
                <w:szCs w:val="24"/>
                <w:lang w:eastAsia="lt-LT"/>
              </w:rPr>
              <w:t>6.5.</w:t>
            </w:r>
          </w:p>
        </w:tc>
        <w:tc>
          <w:tcPr>
            <w:tcW w:w="6393" w:type="dxa"/>
            <w:vAlign w:val="center"/>
          </w:tcPr>
          <w:p w14:paraId="18746889" w14:textId="42E84F10" w:rsidR="005970CC" w:rsidRPr="004320CD" w:rsidRDefault="005970CC" w:rsidP="0065731E">
            <w:pPr>
              <w:textAlignment w:val="baseline"/>
              <w:rPr>
                <w:szCs w:val="24"/>
                <w:lang w:eastAsia="lt-LT"/>
              </w:rPr>
            </w:pPr>
            <w:r w:rsidRPr="004320CD">
              <w:rPr>
                <w:szCs w:val="24"/>
                <w:lang w:eastAsia="lt-LT"/>
              </w:rPr>
              <w:t>Atliekų politikos grupės darbuotojų kvalifikacijos tobulinimas</w:t>
            </w:r>
          </w:p>
        </w:tc>
        <w:tc>
          <w:tcPr>
            <w:tcW w:w="1843" w:type="dxa"/>
            <w:vAlign w:val="center"/>
          </w:tcPr>
          <w:p w14:paraId="44DB208B" w14:textId="6E12DE58" w:rsidR="005970CC" w:rsidRPr="004320CD" w:rsidRDefault="005970CC" w:rsidP="0065731E">
            <w:pPr>
              <w:jc w:val="center"/>
              <w:rPr>
                <w:szCs w:val="24"/>
                <w:lang w:eastAsia="lt-LT"/>
              </w:rPr>
            </w:pPr>
            <w:r w:rsidRPr="004320CD">
              <w:rPr>
                <w:szCs w:val="24"/>
                <w:lang w:eastAsia="lt-LT"/>
              </w:rPr>
              <w:t>8 000</w:t>
            </w:r>
          </w:p>
        </w:tc>
        <w:tc>
          <w:tcPr>
            <w:tcW w:w="1845" w:type="dxa"/>
          </w:tcPr>
          <w:p w14:paraId="257C46FE" w14:textId="77777777" w:rsidR="005970CC" w:rsidRPr="004320CD" w:rsidRDefault="005970CC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BBC5797" w14:textId="5DAD44BE" w:rsidR="005970CC" w:rsidRPr="004320CD" w:rsidRDefault="00BF3A35" w:rsidP="0065731E">
            <w:pPr>
              <w:rPr>
                <w:szCs w:val="24"/>
                <w:lang w:eastAsia="lt-LT"/>
              </w:rPr>
            </w:pPr>
            <w:r w:rsidRPr="004320CD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595D89" w14:paraId="6F829151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57CB" w:rsidRDefault="00004B13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57CB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A</w:t>
            </w:r>
            <w:r w:rsidR="00B64A0C" w:rsidRPr="00CD57CB">
              <w:rPr>
                <w:b/>
                <w:bCs/>
                <w:szCs w:val="24"/>
                <w:lang w:eastAsia="lt-LT"/>
              </w:rPr>
              <w:t xml:space="preserve">tliekoms sutvarkyti </w:t>
            </w:r>
            <w:r w:rsidR="00004B13" w:rsidRPr="00CD57CB">
              <w:rPr>
                <w:b/>
                <w:bCs/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57CB">
              <w:rPr>
                <w:b/>
                <w:bCs/>
                <w:szCs w:val="24"/>
                <w:lang w:eastAsia="lt-LT"/>
              </w:rPr>
              <w:t xml:space="preserve">kol </w:t>
            </w:r>
            <w:r w:rsidR="00004B13" w:rsidRPr="00CD57CB">
              <w:rPr>
                <w:b/>
                <w:bCs/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534BD2F1" w:rsidR="00004B13" w:rsidRPr="00CD57CB" w:rsidRDefault="00C53F76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D57CB"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51B44CCE" w14:textId="77777777" w:rsidR="00004B13" w:rsidRPr="00CD57CB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CD57CB" w:rsidRDefault="00004B13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595D89" w14:paraId="1C3A5850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F0DC529" w14:textId="77777777" w:rsidR="00004B13" w:rsidRPr="00012DD1" w:rsidRDefault="00004B13" w:rsidP="0065731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012DD1" w:rsidRDefault="002C5CAC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A</w:t>
            </w:r>
            <w:r w:rsidR="00004B13" w:rsidRPr="00012DD1">
              <w:rPr>
                <w:b/>
                <w:bCs/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vAlign w:val="center"/>
          </w:tcPr>
          <w:p w14:paraId="2FC3AED5" w14:textId="01EC3B1A" w:rsidR="00004B13" w:rsidRPr="00012DD1" w:rsidRDefault="00CD57CB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3E0160">
              <w:rPr>
                <w:b/>
                <w:bCs/>
                <w:szCs w:val="24"/>
                <w:lang w:eastAsia="lt-LT"/>
              </w:rPr>
              <w:t>1 704 333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65731E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lastRenderedPageBreak/>
              <w:t>8.1.</w:t>
            </w:r>
          </w:p>
        </w:tc>
        <w:tc>
          <w:tcPr>
            <w:tcW w:w="6393" w:type="dxa"/>
            <w:vAlign w:val="center"/>
          </w:tcPr>
          <w:p w14:paraId="0F610FAC" w14:textId="21296901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vAlign w:val="center"/>
          </w:tcPr>
          <w:p w14:paraId="19A2E1CC" w14:textId="09F10853" w:rsidR="00004B13" w:rsidRPr="00004B13" w:rsidRDefault="00CD57CB" w:rsidP="0065731E">
            <w:pPr>
              <w:jc w:val="center"/>
              <w:rPr>
                <w:szCs w:val="24"/>
                <w:lang w:eastAsia="lt-LT"/>
              </w:rPr>
            </w:pPr>
            <w:r w:rsidRPr="00CD57CB">
              <w:rPr>
                <w:color w:val="000000"/>
                <w:szCs w:val="24"/>
              </w:rPr>
              <w:t>129</w:t>
            </w:r>
            <w:r>
              <w:rPr>
                <w:color w:val="000000"/>
                <w:szCs w:val="24"/>
              </w:rPr>
              <w:t xml:space="preserve"> </w:t>
            </w:r>
            <w:r w:rsidRPr="00CD57CB">
              <w:rPr>
                <w:color w:val="000000"/>
                <w:szCs w:val="24"/>
              </w:rPr>
              <w:t>305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18620567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65731E" w:rsidRDefault="00004B13" w:rsidP="0065731E">
            <w:pPr>
              <w:jc w:val="center"/>
              <w:textAlignment w:val="baseline"/>
              <w:rPr>
                <w:sz w:val="28"/>
                <w:szCs w:val="28"/>
                <w:lang w:eastAsia="lt-LT"/>
              </w:rPr>
            </w:pPr>
            <w:r w:rsidRPr="0065731E">
              <w:rPr>
                <w:sz w:val="28"/>
                <w:szCs w:val="28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7B1DF6A5" w:rsidR="00004B13" w:rsidRPr="00004B13" w:rsidRDefault="00004B13" w:rsidP="0065731E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vAlign w:val="center"/>
          </w:tcPr>
          <w:p w14:paraId="3927A1F4" w14:textId="52DD4B0B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</w:tcPr>
          <w:p w14:paraId="407CDE30" w14:textId="0E94BF96" w:rsidR="00004B13" w:rsidRPr="00004B13" w:rsidRDefault="00AE4906" w:rsidP="0065731E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vAlign w:val="center"/>
          </w:tcPr>
          <w:p w14:paraId="1164BB65" w14:textId="03761175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4D8BA7F2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K</w:t>
            </w:r>
            <w:r w:rsidR="00004B13" w:rsidRPr="00004B13">
              <w:rPr>
                <w:color w:val="000000"/>
                <w:szCs w:val="24"/>
              </w:rPr>
              <w:t>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vAlign w:val="center"/>
          </w:tcPr>
          <w:p w14:paraId="03D9834C" w14:textId="7B86A81E" w:rsidR="00004B13" w:rsidRPr="00004B13" w:rsidRDefault="00004B13" w:rsidP="0065731E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</w:tcPr>
          <w:p w14:paraId="4A8EACBC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06BC02CB" w:rsidR="00004B13" w:rsidRPr="00004B13" w:rsidRDefault="001F57A2" w:rsidP="0065731E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D304E0">
        <w:trPr>
          <w:trHeight w:val="270"/>
        </w:trPr>
        <w:tc>
          <w:tcPr>
            <w:tcW w:w="855" w:type="dxa"/>
            <w:vAlign w:val="center"/>
          </w:tcPr>
          <w:p w14:paraId="3D82161B" w14:textId="025797A0" w:rsidR="00004B13" w:rsidRPr="00004B13" w:rsidRDefault="00004B13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vAlign w:val="center"/>
          </w:tcPr>
          <w:p w14:paraId="4296EF90" w14:textId="5BB0AC40" w:rsidR="00004B13" w:rsidRPr="00004B13" w:rsidRDefault="00D04F36" w:rsidP="0065731E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D</w:t>
            </w:r>
            <w:r w:rsidR="00004B13" w:rsidRPr="00004B13">
              <w:rPr>
                <w:color w:val="000000"/>
                <w:szCs w:val="24"/>
              </w:rPr>
              <w:t>otacijos savivaldybių projektams</w:t>
            </w:r>
          </w:p>
        </w:tc>
        <w:tc>
          <w:tcPr>
            <w:tcW w:w="1843" w:type="dxa"/>
            <w:vAlign w:val="center"/>
          </w:tcPr>
          <w:p w14:paraId="33714B6B" w14:textId="7C85B1AC" w:rsidR="00004B13" w:rsidRPr="00004B13" w:rsidRDefault="00725EDE" w:rsidP="0065731E">
            <w:pPr>
              <w:jc w:val="center"/>
              <w:rPr>
                <w:szCs w:val="24"/>
                <w:lang w:eastAsia="lt-LT"/>
              </w:rPr>
            </w:pPr>
            <w:r w:rsidRPr="00725EDE">
              <w:rPr>
                <w:color w:val="000000"/>
                <w:szCs w:val="24"/>
              </w:rPr>
              <w:t>873</w:t>
            </w:r>
            <w:r>
              <w:rPr>
                <w:color w:val="000000"/>
                <w:szCs w:val="24"/>
              </w:rPr>
              <w:t xml:space="preserve"> </w:t>
            </w:r>
            <w:r w:rsidRPr="00725EDE">
              <w:rPr>
                <w:color w:val="000000"/>
                <w:szCs w:val="24"/>
              </w:rPr>
              <w:t>988</w:t>
            </w:r>
          </w:p>
        </w:tc>
        <w:tc>
          <w:tcPr>
            <w:tcW w:w="1845" w:type="dxa"/>
          </w:tcPr>
          <w:p w14:paraId="1C671520" w14:textId="77777777" w:rsidR="00004B13" w:rsidRPr="00004B13" w:rsidRDefault="00004B13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39A22A84" w14:textId="75C3E8A7" w:rsidR="00004B13" w:rsidRPr="00004B13" w:rsidRDefault="00004B13" w:rsidP="0065731E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4DD8AA57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</w:t>
            </w:r>
            <w:r w:rsidR="005970CC">
              <w:rPr>
                <w:b/>
                <w:bCs/>
                <w:szCs w:val="24"/>
                <w:lang w:eastAsia="lt-LT"/>
              </w:rPr>
              <w:t> 346 153</w:t>
            </w:r>
          </w:p>
        </w:tc>
        <w:tc>
          <w:tcPr>
            <w:tcW w:w="1845" w:type="dxa"/>
            <w:hideMark/>
          </w:tcPr>
          <w:p w14:paraId="3A6FFE18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78A47D61" w:rsidR="00595D89" w:rsidRPr="00012DD1" w:rsidRDefault="005970CC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48 847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D304E0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65731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012DD1" w:rsidRDefault="00595D89" w:rsidP="0065731E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012DD1" w:rsidRDefault="00004B13" w:rsidP="0065731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012DD1">
              <w:rPr>
                <w:b/>
                <w:bCs/>
                <w:szCs w:val="24"/>
                <w:lang w:eastAsia="lt-LT"/>
              </w:rPr>
              <w:t>2</w:t>
            </w:r>
            <w:r w:rsidR="00AE4906" w:rsidRPr="00012DD1">
              <w:rPr>
                <w:b/>
                <w:bCs/>
                <w:szCs w:val="24"/>
                <w:lang w:eastAsia="lt-LT"/>
              </w:rPr>
              <w:t> </w:t>
            </w:r>
            <w:r w:rsidRPr="00012DD1">
              <w:rPr>
                <w:b/>
                <w:bCs/>
                <w:szCs w:val="24"/>
                <w:lang w:eastAsia="lt-LT"/>
              </w:rPr>
              <w:t>395</w:t>
            </w:r>
            <w:r w:rsidR="00AE4906" w:rsidRPr="00012DD1">
              <w:rPr>
                <w:b/>
                <w:bCs/>
                <w:szCs w:val="24"/>
                <w:lang w:eastAsia="lt-LT"/>
              </w:rPr>
              <w:t xml:space="preserve"> </w:t>
            </w:r>
            <w:r w:rsidRPr="00012DD1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65731E">
            <w:pPr>
              <w:rPr>
                <w:szCs w:val="24"/>
                <w:lang w:eastAsia="lt-LT"/>
              </w:rPr>
            </w:pPr>
          </w:p>
        </w:tc>
      </w:tr>
    </w:tbl>
    <w:p w14:paraId="64B7390D" w14:textId="44013694" w:rsidR="00595D89" w:rsidRDefault="00595D89" w:rsidP="0065731E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  <w:bookmarkStart w:id="1" w:name="part_d527f5cf44694df8a07298ed0dc7ade0"/>
      <w:bookmarkEnd w:id="1"/>
      <w:r w:rsidR="0065731E">
        <w:rPr>
          <w:color w:val="000000"/>
          <w:szCs w:val="24"/>
          <w:lang w:eastAsia="lt-LT"/>
        </w:rPr>
        <w:t xml:space="preserve">                                                                                                                                 </w:t>
      </w:r>
      <w:r w:rsidRPr="00595D89">
        <w:rPr>
          <w:color w:val="000000"/>
          <w:szCs w:val="24"/>
          <w:lang w:eastAsia="lt-LT"/>
        </w:rPr>
        <w:t>_____________ </w:t>
      </w:r>
    </w:p>
    <w:sectPr w:rsidR="00595D89" w:rsidSect="004D4C87">
      <w:headerReference w:type="default" r:id="rId14"/>
      <w:pgSz w:w="16838" w:h="11906" w:orient="landscape"/>
      <w:pgMar w:top="1276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80D04" w14:textId="655777F4" w:rsidR="0095706F" w:rsidRDefault="005E06B3" w:rsidP="005E06B3">
    <w:pPr>
      <w:pStyle w:val="Header"/>
      <w:tabs>
        <w:tab w:val="left" w:pos="7224"/>
      </w:tabs>
    </w:pPr>
    <w:r>
      <w:tab/>
    </w:r>
    <w:r>
      <w:tab/>
    </w:r>
    <w:r w:rsidR="00C67752">
      <w:t>2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8D79" w14:textId="7B4B3137" w:rsidR="00C67752" w:rsidRDefault="00C67752" w:rsidP="00C6775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BC3B" w14:textId="5C2C3532" w:rsidR="004C4AF0" w:rsidRDefault="004C4AF0" w:rsidP="005E06B3">
    <w:pPr>
      <w:pStyle w:val="Header"/>
      <w:tabs>
        <w:tab w:val="left" w:pos="7224"/>
      </w:tabs>
    </w:pPr>
    <w:r>
      <w:tab/>
    </w:r>
    <w:r>
      <w:tab/>
    </w:r>
    <w:r w:rsidR="0065731E"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1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2F10"/>
    <w:rsid w:val="000D7EE6"/>
    <w:rsid w:val="000E50A6"/>
    <w:rsid w:val="000F544D"/>
    <w:rsid w:val="000F673D"/>
    <w:rsid w:val="000F67B9"/>
    <w:rsid w:val="00103087"/>
    <w:rsid w:val="00114C54"/>
    <w:rsid w:val="00145675"/>
    <w:rsid w:val="001511BC"/>
    <w:rsid w:val="0016652B"/>
    <w:rsid w:val="0017106A"/>
    <w:rsid w:val="00187E6D"/>
    <w:rsid w:val="001A1411"/>
    <w:rsid w:val="001A2DB7"/>
    <w:rsid w:val="001A3587"/>
    <w:rsid w:val="001F57A2"/>
    <w:rsid w:val="001F739A"/>
    <w:rsid w:val="00211754"/>
    <w:rsid w:val="0021203F"/>
    <w:rsid w:val="002121D9"/>
    <w:rsid w:val="00231201"/>
    <w:rsid w:val="00240E24"/>
    <w:rsid w:val="002B1F2D"/>
    <w:rsid w:val="002B4995"/>
    <w:rsid w:val="002C5CAC"/>
    <w:rsid w:val="002D2252"/>
    <w:rsid w:val="002F7E32"/>
    <w:rsid w:val="00306F33"/>
    <w:rsid w:val="00317BF7"/>
    <w:rsid w:val="00357323"/>
    <w:rsid w:val="00357947"/>
    <w:rsid w:val="00386E8F"/>
    <w:rsid w:val="003B648C"/>
    <w:rsid w:val="003E1FEE"/>
    <w:rsid w:val="003E3775"/>
    <w:rsid w:val="004008AC"/>
    <w:rsid w:val="004227A6"/>
    <w:rsid w:val="004320CD"/>
    <w:rsid w:val="00435E73"/>
    <w:rsid w:val="00437482"/>
    <w:rsid w:val="004559E3"/>
    <w:rsid w:val="00457835"/>
    <w:rsid w:val="0046303C"/>
    <w:rsid w:val="00466338"/>
    <w:rsid w:val="004857E2"/>
    <w:rsid w:val="004A3FD0"/>
    <w:rsid w:val="004A4DCE"/>
    <w:rsid w:val="004C421D"/>
    <w:rsid w:val="004C4AF0"/>
    <w:rsid w:val="004D4C87"/>
    <w:rsid w:val="004D7569"/>
    <w:rsid w:val="00506A6D"/>
    <w:rsid w:val="00515FC4"/>
    <w:rsid w:val="00520ABB"/>
    <w:rsid w:val="00531500"/>
    <w:rsid w:val="0053350A"/>
    <w:rsid w:val="00560D20"/>
    <w:rsid w:val="00584DB8"/>
    <w:rsid w:val="00594D4E"/>
    <w:rsid w:val="00595D89"/>
    <w:rsid w:val="005970CC"/>
    <w:rsid w:val="005A37AE"/>
    <w:rsid w:val="005B7443"/>
    <w:rsid w:val="005D126A"/>
    <w:rsid w:val="005E06B3"/>
    <w:rsid w:val="005E6886"/>
    <w:rsid w:val="005F711F"/>
    <w:rsid w:val="00603BD4"/>
    <w:rsid w:val="006373B7"/>
    <w:rsid w:val="0065731E"/>
    <w:rsid w:val="006709C3"/>
    <w:rsid w:val="00670C74"/>
    <w:rsid w:val="006A4C59"/>
    <w:rsid w:val="006B3E5F"/>
    <w:rsid w:val="006C4792"/>
    <w:rsid w:val="006D7937"/>
    <w:rsid w:val="006E26E9"/>
    <w:rsid w:val="006F16A6"/>
    <w:rsid w:val="006F7359"/>
    <w:rsid w:val="0070456D"/>
    <w:rsid w:val="00705EE8"/>
    <w:rsid w:val="00722992"/>
    <w:rsid w:val="00725EDE"/>
    <w:rsid w:val="007363AF"/>
    <w:rsid w:val="00744A53"/>
    <w:rsid w:val="00754DD0"/>
    <w:rsid w:val="00756AE4"/>
    <w:rsid w:val="00772357"/>
    <w:rsid w:val="007D5840"/>
    <w:rsid w:val="007D65A2"/>
    <w:rsid w:val="00846C6E"/>
    <w:rsid w:val="0085165A"/>
    <w:rsid w:val="00867BDE"/>
    <w:rsid w:val="008A3393"/>
    <w:rsid w:val="008B6572"/>
    <w:rsid w:val="008D4DEC"/>
    <w:rsid w:val="00913014"/>
    <w:rsid w:val="00913965"/>
    <w:rsid w:val="00916480"/>
    <w:rsid w:val="00925FB1"/>
    <w:rsid w:val="00942747"/>
    <w:rsid w:val="00954A1D"/>
    <w:rsid w:val="009559B3"/>
    <w:rsid w:val="0095706F"/>
    <w:rsid w:val="00966DF6"/>
    <w:rsid w:val="00973FE7"/>
    <w:rsid w:val="009763C7"/>
    <w:rsid w:val="00990C05"/>
    <w:rsid w:val="0099374E"/>
    <w:rsid w:val="009A300E"/>
    <w:rsid w:val="009A53DA"/>
    <w:rsid w:val="009C6BF6"/>
    <w:rsid w:val="009F59CC"/>
    <w:rsid w:val="00A4516E"/>
    <w:rsid w:val="00A860AA"/>
    <w:rsid w:val="00A87922"/>
    <w:rsid w:val="00AA16DE"/>
    <w:rsid w:val="00AB13A3"/>
    <w:rsid w:val="00AB3FC2"/>
    <w:rsid w:val="00AC60E0"/>
    <w:rsid w:val="00AE4906"/>
    <w:rsid w:val="00AF064C"/>
    <w:rsid w:val="00B37A88"/>
    <w:rsid w:val="00B50EE5"/>
    <w:rsid w:val="00B64A0C"/>
    <w:rsid w:val="00B7058A"/>
    <w:rsid w:val="00B7145F"/>
    <w:rsid w:val="00BA52EC"/>
    <w:rsid w:val="00BB2598"/>
    <w:rsid w:val="00BE7B81"/>
    <w:rsid w:val="00BF3A35"/>
    <w:rsid w:val="00BF79F8"/>
    <w:rsid w:val="00C03736"/>
    <w:rsid w:val="00C20C49"/>
    <w:rsid w:val="00C23512"/>
    <w:rsid w:val="00C27C16"/>
    <w:rsid w:val="00C53F76"/>
    <w:rsid w:val="00C62980"/>
    <w:rsid w:val="00C67752"/>
    <w:rsid w:val="00C90466"/>
    <w:rsid w:val="00CD0521"/>
    <w:rsid w:val="00CD2B82"/>
    <w:rsid w:val="00CD57CB"/>
    <w:rsid w:val="00CF2B2D"/>
    <w:rsid w:val="00CF3AED"/>
    <w:rsid w:val="00D04F36"/>
    <w:rsid w:val="00D12859"/>
    <w:rsid w:val="00D160A4"/>
    <w:rsid w:val="00D239FC"/>
    <w:rsid w:val="00D23F9E"/>
    <w:rsid w:val="00D304E0"/>
    <w:rsid w:val="00D90F9C"/>
    <w:rsid w:val="00DA005D"/>
    <w:rsid w:val="00E05FC1"/>
    <w:rsid w:val="00E25CEF"/>
    <w:rsid w:val="00E32AD5"/>
    <w:rsid w:val="00E576A7"/>
    <w:rsid w:val="00E756D3"/>
    <w:rsid w:val="00E90DB3"/>
    <w:rsid w:val="00E912E0"/>
    <w:rsid w:val="00E9529E"/>
    <w:rsid w:val="00EB728A"/>
    <w:rsid w:val="00ED7BAB"/>
    <w:rsid w:val="00EE064C"/>
    <w:rsid w:val="00EF2AD2"/>
    <w:rsid w:val="00EF3663"/>
    <w:rsid w:val="00EF4E6D"/>
    <w:rsid w:val="00F1282C"/>
    <w:rsid w:val="00F31DF3"/>
    <w:rsid w:val="00F56724"/>
    <w:rsid w:val="00F62E8F"/>
    <w:rsid w:val="00F71186"/>
    <w:rsid w:val="00F8756A"/>
    <w:rsid w:val="00FB1290"/>
    <w:rsid w:val="00FC3561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0C43502-0581-48E5-A103-1B69BC26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E5EC2-6CE3-47BB-94DE-966992D0C604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8399C-FCDC-49BF-99FC-963790B55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7BD21-14F9-43E2-AE68-296D0D53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3434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14</cp:revision>
  <dcterms:created xsi:type="dcterms:W3CDTF">2024-05-03T15:05:00Z</dcterms:created>
  <dcterms:modified xsi:type="dcterms:W3CDTF">2024-07-10T14:31:00Z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