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9D1CB" w14:textId="77777777" w:rsidR="00766CA5" w:rsidRDefault="00766CA5" w:rsidP="005B1E13">
      <w:pPr>
        <w:tabs>
          <w:tab w:val="left" w:pos="4678"/>
        </w:tabs>
        <w:ind w:left="4464" w:firstLine="5742"/>
        <w:jc w:val="both"/>
      </w:pPr>
      <w:r>
        <w:t>PATVIRTINTA</w:t>
      </w:r>
    </w:p>
    <w:p w14:paraId="6432308F" w14:textId="77777777" w:rsidR="00766CA5" w:rsidRDefault="00766CA5" w:rsidP="005B1E13">
      <w:pPr>
        <w:tabs>
          <w:tab w:val="left" w:pos="4678"/>
        </w:tabs>
        <w:ind w:left="6480" w:firstLine="3726"/>
        <w:jc w:val="both"/>
      </w:pPr>
      <w:r>
        <w:t>Lietuvos Respublikos aplinkos ministro</w:t>
      </w:r>
    </w:p>
    <w:p w14:paraId="747DD9A7" w14:textId="558774C9" w:rsidR="00766CA5" w:rsidRDefault="00766CA5" w:rsidP="005B1E13">
      <w:pPr>
        <w:tabs>
          <w:tab w:val="left" w:pos="4678"/>
        </w:tabs>
        <w:ind w:left="6480" w:firstLine="3726"/>
        <w:jc w:val="both"/>
      </w:pPr>
      <w:r>
        <w:t xml:space="preserve">2024 m. </w:t>
      </w:r>
      <w:r w:rsidR="00700830">
        <w:t>liepos 12</w:t>
      </w:r>
      <w:r>
        <w:t xml:space="preserve"> d.</w:t>
      </w:r>
    </w:p>
    <w:p w14:paraId="6342F334" w14:textId="36B70A9A" w:rsidR="00766CA5" w:rsidRDefault="00766CA5" w:rsidP="005B1E13">
      <w:pPr>
        <w:tabs>
          <w:tab w:val="left" w:pos="4678"/>
        </w:tabs>
        <w:ind w:firstLine="10206"/>
        <w:jc w:val="both"/>
      </w:pPr>
      <w:r>
        <w:t>įsakymu Nr.</w:t>
      </w:r>
      <w:r w:rsidR="00700830">
        <w:t xml:space="preserve"> V-103</w:t>
      </w:r>
    </w:p>
    <w:p w14:paraId="727FB01C" w14:textId="77777777" w:rsidR="005B1E13" w:rsidRDefault="005B1E13" w:rsidP="00766CA5">
      <w:pPr>
        <w:tabs>
          <w:tab w:val="left" w:pos="4678"/>
        </w:tabs>
        <w:jc w:val="both"/>
      </w:pPr>
    </w:p>
    <w:p w14:paraId="6C5DBD58" w14:textId="77777777" w:rsidR="005B1E13" w:rsidRDefault="005B1E13" w:rsidP="00766CA5">
      <w:pPr>
        <w:tabs>
          <w:tab w:val="left" w:pos="4678"/>
        </w:tabs>
        <w:jc w:val="both"/>
      </w:pPr>
    </w:p>
    <w:p w14:paraId="1A78FDF1" w14:textId="18A21552" w:rsidR="00766CA5" w:rsidRDefault="00766CA5" w:rsidP="00766CA5">
      <w:pPr>
        <w:ind w:left="-720"/>
        <w:jc w:val="center"/>
        <w:rPr>
          <w:b/>
        </w:rPr>
      </w:pPr>
      <w:r w:rsidRPr="00DF454C">
        <w:rPr>
          <w:b/>
        </w:rPr>
        <w:t xml:space="preserve">POŽEMINIO VANDENS </w:t>
      </w:r>
      <w:r>
        <w:rPr>
          <w:b/>
        </w:rPr>
        <w:t>VEIKLOS</w:t>
      </w:r>
      <w:r w:rsidRPr="00DF454C">
        <w:rPr>
          <w:b/>
        </w:rPr>
        <w:t xml:space="preserve"> MONITORINGO </w:t>
      </w:r>
      <w:r>
        <w:rPr>
          <w:b/>
        </w:rPr>
        <w:t>BIRŽŲ – PASVALIO POŽEMINIO VANDENS BASEINE 2024</w:t>
      </w:r>
      <w:r w:rsidRPr="00DF454C">
        <w:rPr>
          <w:b/>
        </w:rPr>
        <w:t xml:space="preserve"> METŲ PLANAS</w:t>
      </w:r>
    </w:p>
    <w:p w14:paraId="74CCA2EB" w14:textId="77777777" w:rsidR="005B1E13" w:rsidRDefault="005B1E13" w:rsidP="00766CA5">
      <w:pPr>
        <w:ind w:left="-720"/>
        <w:jc w:val="center"/>
        <w:rPr>
          <w:b/>
        </w:rPr>
      </w:pPr>
    </w:p>
    <w:p w14:paraId="7D5BBB88" w14:textId="3966DEE3" w:rsidR="005B1E13" w:rsidRDefault="00E905B7" w:rsidP="005B1E13">
      <w:pPr>
        <w:jc w:val="center"/>
        <w:rPr>
          <w:bCs/>
        </w:rPr>
      </w:pPr>
      <w:r>
        <w:rPr>
          <w:bCs/>
        </w:rPr>
        <w:t>(</w:t>
      </w:r>
      <w:r w:rsidR="005B1E13" w:rsidRPr="005C1A48">
        <w:rPr>
          <w:bCs/>
        </w:rPr>
        <w:t xml:space="preserve">Įgyvendinami </w:t>
      </w:r>
      <w:r w:rsidR="005B1E13" w:rsidRPr="0019464C">
        <w:rPr>
          <w:bCs/>
        </w:rPr>
        <w:t xml:space="preserve">Valstybinės aplinkos monitoringo 2024–2029 metų programos uždaviniai </w:t>
      </w:r>
    </w:p>
    <w:p w14:paraId="43364046" w14:textId="3A816D60" w:rsidR="005B1E13" w:rsidRPr="005B4DB2" w:rsidRDefault="005B1E13" w:rsidP="005B1E13">
      <w:pPr>
        <w:jc w:val="center"/>
      </w:pPr>
      <w:r w:rsidRPr="0019464C">
        <w:rPr>
          <w:bCs/>
        </w:rPr>
        <w:t>(</w:t>
      </w:r>
      <w:r>
        <w:rPr>
          <w:bCs/>
        </w:rPr>
        <w:t>4</w:t>
      </w:r>
      <w:r w:rsidRPr="0019464C">
        <w:rPr>
          <w:bCs/>
        </w:rPr>
        <w:t xml:space="preserve"> priedas, </w:t>
      </w:r>
      <w:r>
        <w:rPr>
          <w:bCs/>
        </w:rPr>
        <w:t>1</w:t>
      </w:r>
      <w:r w:rsidRPr="0019464C">
        <w:rPr>
          <w:bCs/>
        </w:rPr>
        <w:t>.</w:t>
      </w:r>
      <w:r>
        <w:rPr>
          <w:bCs/>
        </w:rPr>
        <w:t>2</w:t>
      </w:r>
      <w:r w:rsidRPr="0019464C">
        <w:rPr>
          <w:bCs/>
        </w:rPr>
        <w:t xml:space="preserve"> priemonė: </w:t>
      </w:r>
      <w:r w:rsidRPr="005B1E13">
        <w:rPr>
          <w:shd w:val="clear" w:color="auto" w:fill="FFFFFF"/>
        </w:rPr>
        <w:t>atlikti požeminio vandens veiklos monitoringą Biržų– Pasvalio</w:t>
      </w:r>
      <w:r w:rsidRPr="005B1E13">
        <w:rPr>
          <w:rFonts w:ascii="Calibri" w:eastAsia="Calibri" w:hAnsi="Calibri"/>
          <w:kern w:val="2"/>
          <w:sz w:val="22"/>
          <w:szCs w:val="22"/>
        </w:rPr>
        <w:t xml:space="preserve"> </w:t>
      </w:r>
      <w:r w:rsidRPr="005B1E13">
        <w:rPr>
          <w:shd w:val="clear" w:color="auto" w:fill="FFFFFF"/>
        </w:rPr>
        <w:t>požeminio vandens baseine</w:t>
      </w:r>
      <w:r w:rsidRPr="005B1E13">
        <w:t>)</w:t>
      </w:r>
      <w:r w:rsidR="00E905B7">
        <w:t>)</w:t>
      </w:r>
    </w:p>
    <w:p w14:paraId="134C9E9D" w14:textId="77777777" w:rsidR="005B1E13" w:rsidRDefault="005B1E13" w:rsidP="005B1E13">
      <w:pPr>
        <w:jc w:val="center"/>
        <w:rPr>
          <w:b/>
        </w:rPr>
      </w:pPr>
    </w:p>
    <w:p w14:paraId="7D6DB710" w14:textId="77777777" w:rsidR="005B1E13" w:rsidRPr="007B66FB" w:rsidRDefault="005B1E13" w:rsidP="005B1E13">
      <w:pPr>
        <w:pStyle w:val="BodyText"/>
        <w:ind w:firstLine="0"/>
        <w:jc w:val="center"/>
        <w:rPr>
          <w:rFonts w:ascii="Times New Roman" w:hAnsi="Times New Roman" w:cs="Times New Roman"/>
          <w:bCs/>
          <w:szCs w:val="24"/>
        </w:rPr>
      </w:pPr>
      <w:r w:rsidRPr="007B66FB">
        <w:rPr>
          <w:rFonts w:ascii="Times New Roman" w:hAnsi="Times New Roman" w:cs="Times New Roman"/>
          <w:bCs/>
          <w:iCs/>
          <w:szCs w:val="24"/>
        </w:rPr>
        <w:t>Vykd</w:t>
      </w:r>
      <w:r>
        <w:rPr>
          <w:rFonts w:ascii="Times New Roman" w:hAnsi="Times New Roman" w:cs="Times New Roman"/>
          <w:bCs/>
          <w:iCs/>
          <w:szCs w:val="24"/>
        </w:rPr>
        <w:t>ytojas – Lietuvos geologijos tarnyba prie Aplinkos ministerijos</w:t>
      </w:r>
    </w:p>
    <w:p w14:paraId="58983A69" w14:textId="77777777" w:rsidR="00766CA5" w:rsidRDefault="00766CA5"/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666"/>
        <w:gridCol w:w="1297"/>
        <w:gridCol w:w="1438"/>
        <w:gridCol w:w="1423"/>
        <w:gridCol w:w="1257"/>
        <w:gridCol w:w="2873"/>
        <w:gridCol w:w="1559"/>
        <w:gridCol w:w="2268"/>
      </w:tblGrid>
      <w:tr w:rsidR="005B1E13" w:rsidRPr="005B1E13" w14:paraId="6CB1E5AC" w14:textId="77777777" w:rsidTr="005B1E13">
        <w:trPr>
          <w:trHeight w:val="636"/>
          <w:tblHeader/>
          <w:jc w:val="center"/>
        </w:trPr>
        <w:tc>
          <w:tcPr>
            <w:tcW w:w="673" w:type="dxa"/>
            <w:vMerge w:val="restart"/>
            <w:shd w:val="clear" w:color="auto" w:fill="auto"/>
            <w:noWrap/>
            <w:vAlign w:val="center"/>
            <w:hideMark/>
          </w:tcPr>
          <w:p w14:paraId="422C04B1" w14:textId="77777777" w:rsidR="005B1E13" w:rsidRPr="005B1E13" w:rsidRDefault="005B1E13" w:rsidP="005B1E13">
            <w:pPr>
              <w:jc w:val="center"/>
              <w:rPr>
                <w:b/>
                <w:bCs/>
                <w:color w:val="000000"/>
              </w:rPr>
            </w:pPr>
            <w:r w:rsidRPr="005B1E13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1666" w:type="dxa"/>
            <w:vMerge w:val="restart"/>
            <w:shd w:val="clear" w:color="auto" w:fill="auto"/>
            <w:noWrap/>
            <w:vAlign w:val="center"/>
            <w:hideMark/>
          </w:tcPr>
          <w:p w14:paraId="2DBCCAED" w14:textId="77777777" w:rsidR="005B1E13" w:rsidRPr="005B1E13" w:rsidRDefault="005B1E13" w:rsidP="005B1E13">
            <w:pPr>
              <w:jc w:val="center"/>
              <w:rPr>
                <w:b/>
                <w:bCs/>
                <w:color w:val="000000"/>
              </w:rPr>
            </w:pPr>
            <w:r w:rsidRPr="005B1E13">
              <w:rPr>
                <w:b/>
                <w:bCs/>
                <w:color w:val="000000"/>
              </w:rPr>
              <w:t>Postas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  <w:hideMark/>
          </w:tcPr>
          <w:p w14:paraId="3EC1AAA8" w14:textId="77777777" w:rsidR="005B1E13" w:rsidRPr="005B1E13" w:rsidRDefault="005B1E13" w:rsidP="005B1E13">
            <w:pPr>
              <w:jc w:val="center"/>
              <w:rPr>
                <w:b/>
                <w:bCs/>
                <w:color w:val="000000"/>
              </w:rPr>
            </w:pPr>
            <w:r w:rsidRPr="005B1E13">
              <w:rPr>
                <w:b/>
                <w:bCs/>
                <w:color w:val="000000"/>
              </w:rPr>
              <w:t>Gręžinio Nr.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  <w:hideMark/>
          </w:tcPr>
          <w:p w14:paraId="26BCD097" w14:textId="77777777" w:rsidR="005B1E13" w:rsidRPr="005B1E13" w:rsidRDefault="005B1E13" w:rsidP="005B1E13">
            <w:pPr>
              <w:jc w:val="center"/>
              <w:rPr>
                <w:b/>
                <w:bCs/>
                <w:color w:val="000000"/>
              </w:rPr>
            </w:pPr>
            <w:r w:rsidRPr="005B1E13">
              <w:rPr>
                <w:b/>
                <w:bCs/>
                <w:color w:val="000000"/>
              </w:rPr>
              <w:t>Gręžinio gylis, m</w:t>
            </w:r>
          </w:p>
        </w:tc>
        <w:tc>
          <w:tcPr>
            <w:tcW w:w="2680" w:type="dxa"/>
            <w:gridSpan w:val="2"/>
            <w:shd w:val="clear" w:color="auto" w:fill="auto"/>
            <w:noWrap/>
            <w:vAlign w:val="center"/>
            <w:hideMark/>
          </w:tcPr>
          <w:p w14:paraId="381081B4" w14:textId="23914321" w:rsidR="005B1E13" w:rsidRPr="005B1E13" w:rsidRDefault="005B1E13" w:rsidP="005B1E13">
            <w:pPr>
              <w:jc w:val="center"/>
              <w:rPr>
                <w:b/>
                <w:bCs/>
                <w:color w:val="000000"/>
              </w:rPr>
            </w:pPr>
            <w:r w:rsidRPr="005B1E13">
              <w:rPr>
                <w:b/>
                <w:bCs/>
                <w:color w:val="000000"/>
              </w:rPr>
              <w:t>Koordinatės</w:t>
            </w:r>
          </w:p>
        </w:tc>
        <w:tc>
          <w:tcPr>
            <w:tcW w:w="2873" w:type="dxa"/>
            <w:vMerge w:val="restart"/>
            <w:shd w:val="clear" w:color="auto" w:fill="auto"/>
            <w:noWrap/>
            <w:vAlign w:val="center"/>
            <w:hideMark/>
          </w:tcPr>
          <w:p w14:paraId="6C4CA4D7" w14:textId="77777777" w:rsidR="005B1E13" w:rsidRPr="005B1E13" w:rsidRDefault="005B1E13" w:rsidP="005B1E13">
            <w:pPr>
              <w:jc w:val="center"/>
              <w:rPr>
                <w:b/>
                <w:bCs/>
                <w:color w:val="000000"/>
              </w:rPr>
            </w:pPr>
            <w:r w:rsidRPr="005B1E13">
              <w:rPr>
                <w:b/>
                <w:bCs/>
                <w:color w:val="000000"/>
              </w:rPr>
              <w:t>Gręžinio paskirtis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35CACC3" w14:textId="77777777" w:rsidR="005B1E13" w:rsidRPr="005B1E13" w:rsidRDefault="005B1E13" w:rsidP="005B1E13">
            <w:pPr>
              <w:jc w:val="center"/>
              <w:rPr>
                <w:b/>
                <w:bCs/>
                <w:color w:val="000000"/>
              </w:rPr>
            </w:pPr>
            <w:r w:rsidRPr="005B1E13">
              <w:rPr>
                <w:b/>
                <w:bCs/>
                <w:color w:val="000000"/>
              </w:rPr>
              <w:t>Vandens tyrimai*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55C9AF8" w14:textId="77777777" w:rsidR="005B1E13" w:rsidRPr="005B1E13" w:rsidRDefault="005B1E13" w:rsidP="005B1E13">
            <w:pPr>
              <w:jc w:val="center"/>
              <w:rPr>
                <w:b/>
                <w:bCs/>
                <w:color w:val="000000"/>
              </w:rPr>
            </w:pPr>
            <w:r w:rsidRPr="005B1E13">
              <w:rPr>
                <w:b/>
                <w:bCs/>
                <w:color w:val="000000"/>
              </w:rPr>
              <w:t>Vandens lygio matavimai**</w:t>
            </w:r>
          </w:p>
        </w:tc>
      </w:tr>
      <w:tr w:rsidR="005B1E13" w:rsidRPr="005B1E13" w14:paraId="6F6CDB91" w14:textId="77777777" w:rsidTr="005B1E13">
        <w:trPr>
          <w:trHeight w:val="636"/>
          <w:tblHeader/>
          <w:jc w:val="center"/>
        </w:trPr>
        <w:tc>
          <w:tcPr>
            <w:tcW w:w="673" w:type="dxa"/>
            <w:vMerge/>
            <w:shd w:val="clear" w:color="auto" w:fill="auto"/>
            <w:noWrap/>
            <w:vAlign w:val="center"/>
          </w:tcPr>
          <w:p w14:paraId="1D9F99FF" w14:textId="77777777" w:rsidR="005B1E13" w:rsidRPr="005B1E13" w:rsidRDefault="005B1E13" w:rsidP="00766CA5">
            <w:pPr>
              <w:rPr>
                <w:b/>
                <w:bCs/>
                <w:color w:val="000000"/>
              </w:rPr>
            </w:pPr>
          </w:p>
        </w:tc>
        <w:tc>
          <w:tcPr>
            <w:tcW w:w="1666" w:type="dxa"/>
            <w:vMerge/>
            <w:shd w:val="clear" w:color="auto" w:fill="auto"/>
            <w:noWrap/>
            <w:vAlign w:val="center"/>
          </w:tcPr>
          <w:p w14:paraId="0EE38BB4" w14:textId="77777777" w:rsidR="005B1E13" w:rsidRPr="005B1E13" w:rsidRDefault="005B1E13" w:rsidP="00766CA5">
            <w:pPr>
              <w:rPr>
                <w:b/>
                <w:bCs/>
                <w:color w:val="000000"/>
              </w:rPr>
            </w:pPr>
          </w:p>
        </w:tc>
        <w:tc>
          <w:tcPr>
            <w:tcW w:w="1297" w:type="dxa"/>
            <w:vMerge/>
            <w:shd w:val="clear" w:color="auto" w:fill="auto"/>
            <w:vAlign w:val="center"/>
          </w:tcPr>
          <w:p w14:paraId="4A73377B" w14:textId="77777777" w:rsidR="005B1E13" w:rsidRPr="005B1E13" w:rsidRDefault="005B1E13" w:rsidP="00766CA5">
            <w:pPr>
              <w:rPr>
                <w:b/>
                <w:bCs/>
                <w:color w:val="000000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14:paraId="41244146" w14:textId="77777777" w:rsidR="005B1E13" w:rsidRPr="005B1E13" w:rsidRDefault="005B1E13" w:rsidP="00766CA5">
            <w:pPr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26E9013C" w14:textId="3E303799" w:rsidR="005B1E13" w:rsidRPr="005B1E13" w:rsidRDefault="005B1E13" w:rsidP="005B1E13">
            <w:pPr>
              <w:jc w:val="center"/>
              <w:rPr>
                <w:b/>
                <w:bCs/>
                <w:color w:val="000000"/>
              </w:rPr>
            </w:pPr>
            <w:r w:rsidRPr="005B1E13">
              <w:rPr>
                <w:b/>
                <w:bCs/>
                <w:color w:val="000000"/>
              </w:rPr>
              <w:t>X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14:paraId="53E1165D" w14:textId="5AD1AE0A" w:rsidR="005B1E13" w:rsidRPr="005B1E13" w:rsidRDefault="005B1E13" w:rsidP="005B1E13">
            <w:pPr>
              <w:jc w:val="center"/>
              <w:rPr>
                <w:b/>
                <w:bCs/>
                <w:color w:val="000000"/>
              </w:rPr>
            </w:pPr>
            <w:r w:rsidRPr="005B1E13">
              <w:rPr>
                <w:b/>
                <w:bCs/>
                <w:color w:val="000000"/>
              </w:rPr>
              <w:t>Y</w:t>
            </w:r>
          </w:p>
        </w:tc>
        <w:tc>
          <w:tcPr>
            <w:tcW w:w="2873" w:type="dxa"/>
            <w:vMerge/>
            <w:shd w:val="clear" w:color="auto" w:fill="auto"/>
            <w:noWrap/>
            <w:vAlign w:val="center"/>
          </w:tcPr>
          <w:p w14:paraId="7D23D722" w14:textId="77777777" w:rsidR="005B1E13" w:rsidRPr="005B1E13" w:rsidRDefault="005B1E13" w:rsidP="00766CA5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011C06" w14:textId="77777777" w:rsidR="005B1E13" w:rsidRPr="005B1E13" w:rsidRDefault="005B1E13" w:rsidP="00766CA5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C9D08F1" w14:textId="77777777" w:rsidR="005B1E13" w:rsidRPr="005B1E13" w:rsidRDefault="005B1E13" w:rsidP="00766CA5">
            <w:pPr>
              <w:rPr>
                <w:b/>
                <w:bCs/>
                <w:color w:val="000000"/>
              </w:rPr>
            </w:pPr>
          </w:p>
        </w:tc>
      </w:tr>
      <w:tr w:rsidR="005B1E13" w:rsidRPr="005B1E13" w14:paraId="65E12753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7FC4DF8E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EC15654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Ąžuolinės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A19A53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36229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64E3FA82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44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90E2AA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6212942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F8782A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525864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1CABA0FA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Eksploatacinis (gavybos)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4B50A9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7626C4B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29D93546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09AE9032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8DE7701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Biržų Astravo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988149D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25422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548BAE2A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20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DA5670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6231516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D6DAB3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546023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134D4D1F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Eksploatacinis (gavybos)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45B5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8080C8" w14:textId="4B0B7A14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5C431588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0CDD9640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2BD9C43B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Biržų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C49E100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40038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1949A77A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29,1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9AAAB1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6229250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3718A6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547511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15D7B2D1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F3B92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712834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4554B381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149DDAF9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4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6E650C3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Biržų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CB4F53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40039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552F6D62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31,7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78429D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6229285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446ADEB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546501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668AF7C5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5033E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E32D7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07E35C86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5D774450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38492D8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Biržų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00243E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40040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01F2FFA9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30,7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2469F9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6229333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A65D36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546955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F6BFBF2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AD517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1B71A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19A45847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38614025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5E69F84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Biržų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B8236C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40041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4D7CA0D3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40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132966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6231105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CC06F1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545165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0D71B8DE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CDE06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B25F13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6E46ECAD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50DB483A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7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76EA7E6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Biržų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B2BD95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41885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1C3D3CE4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34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455B45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6231647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6F472AE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545973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AE04777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27A4B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BA75D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70FF7F0B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31F29E90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8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3B9BB93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Biržų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75DD84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41867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763E3E5B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34,5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CEB15DB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6232331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1B2428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547167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5EAE47CC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053D8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16CE9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286944C1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14B9B831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9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3DBF88F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Biržų Putino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8DB47BD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22675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2F5BE392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3361D9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6229698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E19597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549353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2D89BB3E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Eksploatacinis (gavybos)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E0F5FE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C49DB27" w14:textId="4571670C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07BB3CF8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697F74EE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10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9B5BFFA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Čeniškių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C92BAC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21969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14143FC9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31,5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7DFAD2D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6229113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B03892B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537496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21B1E6BA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ED389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A0326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210E6E59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351EA081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11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300475B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Dirvonakių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CBE6DB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31200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6084B2EA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11,5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DD0B15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6224373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A2F695D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546996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77E9CEB4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ABB8E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9E0D31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14504CBC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41AC1C22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12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2C008FD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Kiršonių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C25941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21961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68AE5F4A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29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48A882E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6228871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1970E9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538050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2B16EA48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268D9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711E37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41D84542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679C8F7A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13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C392A96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Kiršonių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823B29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21963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4C86BBCB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31,2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7DF476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6228873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BC2AFB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538274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76DB6733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13156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29C0D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213E8EBB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20E5DB8E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14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2D24A39D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Kiršonių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1A58D6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21957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772DD026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25,1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397433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6228906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CFA166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538567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13A5891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6482C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F9C66F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519C0B32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77F65FE4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15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1C9A45D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Kiršonių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FB36B69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21956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512C7D00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27,2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2C44B8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6229214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F9274C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538427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2096BE00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03D95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8B4F80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725E742F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6A66514E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lastRenderedPageBreak/>
              <w:t>16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24A1CDC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Kiršonių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04229F9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21962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2550E749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8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BC5AD5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6229277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997C9EE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538512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2F2A9BCF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A820B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CFB5E5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349C1844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2C9C2DB4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17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E922B54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Likėnų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89526A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21959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1CF8DFAA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2A92E10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6229555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F58E33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538492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1011B928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F8F6E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246DF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5D579A72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635BB9B3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18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0EFEF6D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Likėnų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1FC11BE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21958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4E58A863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3A40C9A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6229680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2844CB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538612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08806599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652E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6679B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6DB2677D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04CD0021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19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78A9701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Likėnų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ACFD0DD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21960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018C7D6A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5B3F7CB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6230051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435E7A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538591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030422BB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B5113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D63189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7FC49BC7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70390711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20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6D0FD4D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Likėnų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2A9262FE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21967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4CEC72F4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12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602DBD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6230210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6B7F7AE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539055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6AA5B9BB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D32DDF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A93B64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5EC2189A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34992744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2842CD9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Pabiržės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3B9762B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21968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0CF73AD9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31,5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399478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6228755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A5A2F2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538982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60CFE9F2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4ECFA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180A18B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7654C792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5736B43F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22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68ADA8BB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Pačeriaukštės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92EF19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22623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48F6F7A9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37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587E50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6236851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9697D09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538168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2EEE66B0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Eksploatacinis (gavybos)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E62C0E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34DED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4AE9B6C5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2D792F77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23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1D1EB2C9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Paįstrio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DBD989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17556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2D93D550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36,5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B6B2C9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6191833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99A5E1D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519331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21986C2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Eksploatacinis (gavybos)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537CA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E19A4F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75BA4283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031576E4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24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697EBBB4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Pajiešmenių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DF3CF0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25424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4D5AC3FE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30,5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E1DCFCD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6219843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8B9ADD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530684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164FA837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Eksploatacinis (gavybos)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F510E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C9686B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75E5CAA7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0596925B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25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C795CC9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Papyvesių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6E97FE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12660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56DCCEE8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FFA7C2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6216237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7792D1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527925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7EC3DE96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3F1DD9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F68E35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501D4C9B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0B9C7144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26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BB1F647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Papyvesių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541BA9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12661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05A0008F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25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66422F49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6216298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41CEC59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527735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4A3CA3B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92003F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E2016F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6AB0D2FB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0F10B878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27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F818520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Papyvesių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6DCD29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12662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108722DA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32,5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B50C9C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6216327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558D2AB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527458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4B96D6FE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C2A530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481740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333E8093" w14:textId="77777777" w:rsidTr="005B1E13">
        <w:trPr>
          <w:trHeight w:val="576"/>
          <w:jc w:val="center"/>
        </w:trPr>
        <w:tc>
          <w:tcPr>
            <w:tcW w:w="673" w:type="dxa"/>
            <w:shd w:val="clear" w:color="auto" w:fill="auto"/>
            <w:noWrap/>
            <w:vAlign w:val="center"/>
            <w:hideMark/>
          </w:tcPr>
          <w:p w14:paraId="1C9AD422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28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14:paraId="7AC8D3DF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Pasvalio Dvareliškių g.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14:paraId="057502B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62045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14:paraId="74F5946B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40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0C4BD5B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6212601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14:paraId="5451B4D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522786</w:t>
            </w:r>
          </w:p>
        </w:tc>
        <w:tc>
          <w:tcPr>
            <w:tcW w:w="2873" w:type="dxa"/>
            <w:shd w:val="clear" w:color="auto" w:fill="auto"/>
            <w:noWrap/>
            <w:vAlign w:val="center"/>
            <w:hideMark/>
          </w:tcPr>
          <w:p w14:paraId="5D93E8F5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Eksploatacinis (gavybos)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5CF01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E72C00D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43D1EA1E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7FD756AC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29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3250B6F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Pasvalio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F345A0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34159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566F4518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45,5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5BA862F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6213746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FBA721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525395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0EB7E554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E57C7E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E5B15B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76703D03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670F569D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30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27ABD72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Pasvalio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9C2944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34158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48BF6E24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39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72F128B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6214113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8B36220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525124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04C82C49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57AB0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448584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744C636B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4AE1A163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31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CF93233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Pasvalio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F07A33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34156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330C98BF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33,2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54C9A3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6214400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6C5577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524910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BB888FB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6BD37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09D0EC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21C7849E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318F077E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32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71F3DEB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Pasvalio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49755B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34151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1CBFEBD4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41,5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09C6ED2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6214533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F84891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524807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0A8B4F35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A6BA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6B1103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4F7DE621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7E37602F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33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2D71F385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Pasvalio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798065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34148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6E371276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46,6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1CC2C2E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6214899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0C7CF8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524642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2C7160AF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96EFF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80C120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65CC4E0B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2BF2636B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34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CDCDB23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Pasvalio m.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FCF8A5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34161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27FAB6B2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47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83FA00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6215095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BEA424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523913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04FE21B9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606DF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26708E0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394563B7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69DADF93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35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0CBFF39B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Peleniškių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AF135AF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21971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52A55323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27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B735A6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6231046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35F0DF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539255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70A75E39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D691F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5AA81E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7CF657AC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360F2831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36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7E85A8ED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Pervalkų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8AE971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12659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0CE7251A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31,5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A86FE7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6216470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7DCA83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525607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772D49E5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78DE30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AF0A4F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05D9AE55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118E52B4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37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1C07888D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Pervalkų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80E55C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12658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08FE6561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31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283EDCB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6216779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A46370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525518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2B9B673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99286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3AED979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6107A3AE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0B01AF46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38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5AADD357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Pervalkų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59919250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12657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40A6DB82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40,3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C3FD8E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6217273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870E51F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525429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E128983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3249B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42FD98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1C9139C0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7D1F46F7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39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3F25C21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Raubonių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73C5352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40310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6F941657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40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1F2A026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6220296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9AB6B42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529291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03E9925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Eksploatacinis (gavybos)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85F5EF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38B55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6788DAD9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0A613340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40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DF7D014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Saločių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36F6611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25081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24F77052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50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39CBFC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6237978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6F75DB6E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522931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176FF643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Eksploatacinis (gavybos)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47200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A3EB5A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361DBC90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08409A1E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41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316517DD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Trečionių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0E513E2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12652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5DC9E882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27,5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25E99F9D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6222946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E9D2274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532129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3D3F7C81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83BD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63BFB20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44D9530E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2DD7B429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42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47274630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Trečionių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48BC693E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12651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7F1E4623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26,2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4775AC0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6223131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085506AC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531989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40EDB992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F4DBA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E9B3F55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  <w:tr w:rsidR="005B1E13" w:rsidRPr="005B1E13" w14:paraId="52207823" w14:textId="77777777" w:rsidTr="005B1E13">
        <w:trPr>
          <w:trHeight w:val="288"/>
          <w:jc w:val="center"/>
        </w:trPr>
        <w:tc>
          <w:tcPr>
            <w:tcW w:w="673" w:type="dxa"/>
            <w:shd w:val="clear" w:color="auto" w:fill="auto"/>
            <w:noWrap/>
            <w:vAlign w:val="bottom"/>
            <w:hideMark/>
          </w:tcPr>
          <w:p w14:paraId="60541C3F" w14:textId="77777777" w:rsidR="00766CA5" w:rsidRPr="005B1E13" w:rsidRDefault="00766CA5" w:rsidP="00766CA5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lastRenderedPageBreak/>
              <w:t>43</w:t>
            </w:r>
          </w:p>
        </w:tc>
        <w:tc>
          <w:tcPr>
            <w:tcW w:w="1666" w:type="dxa"/>
            <w:shd w:val="clear" w:color="auto" w:fill="auto"/>
            <w:noWrap/>
            <w:vAlign w:val="bottom"/>
            <w:hideMark/>
          </w:tcPr>
          <w:p w14:paraId="15CC86C3" w14:textId="77777777" w:rsidR="00766CA5" w:rsidRPr="005B1E13" w:rsidRDefault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Trečionių</w:t>
            </w:r>
          </w:p>
        </w:tc>
        <w:tc>
          <w:tcPr>
            <w:tcW w:w="1297" w:type="dxa"/>
            <w:shd w:val="clear" w:color="auto" w:fill="auto"/>
            <w:noWrap/>
            <w:vAlign w:val="bottom"/>
            <w:hideMark/>
          </w:tcPr>
          <w:p w14:paraId="625AB391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12650</w:t>
            </w:r>
          </w:p>
        </w:tc>
        <w:tc>
          <w:tcPr>
            <w:tcW w:w="1438" w:type="dxa"/>
            <w:shd w:val="clear" w:color="auto" w:fill="auto"/>
            <w:noWrap/>
            <w:vAlign w:val="bottom"/>
            <w:hideMark/>
          </w:tcPr>
          <w:p w14:paraId="4CA79B84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27,5</w:t>
            </w:r>
          </w:p>
        </w:tc>
        <w:tc>
          <w:tcPr>
            <w:tcW w:w="1423" w:type="dxa"/>
            <w:shd w:val="clear" w:color="auto" w:fill="auto"/>
            <w:noWrap/>
            <w:vAlign w:val="bottom"/>
            <w:hideMark/>
          </w:tcPr>
          <w:p w14:paraId="5505E8A0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6223284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EBA1B83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531816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14:paraId="24BE652E" w14:textId="77777777" w:rsidR="00766CA5" w:rsidRPr="005B1E13" w:rsidRDefault="00766CA5" w:rsidP="00766CA5">
            <w:pPr>
              <w:rPr>
                <w:color w:val="000000"/>
              </w:rPr>
            </w:pPr>
            <w:r w:rsidRPr="005B1E13">
              <w:rPr>
                <w:color w:val="000000"/>
              </w:rPr>
              <w:t>Tyrimų (monitoringo)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3C6177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2k. BCh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273DE36" w14:textId="77777777" w:rsidR="00766CA5" w:rsidRPr="005B1E13" w:rsidRDefault="00766CA5" w:rsidP="005B1E13">
            <w:pPr>
              <w:jc w:val="center"/>
              <w:rPr>
                <w:color w:val="000000"/>
              </w:rPr>
            </w:pPr>
            <w:r w:rsidRPr="005B1E13">
              <w:rPr>
                <w:color w:val="000000"/>
              </w:rPr>
              <w:t>2 k./ metus</w:t>
            </w:r>
          </w:p>
        </w:tc>
      </w:tr>
    </w:tbl>
    <w:p w14:paraId="3364CB9B" w14:textId="77777777" w:rsidR="00766CA5" w:rsidRPr="005B1E13" w:rsidRDefault="00766CA5"/>
    <w:p w14:paraId="0AFD0C6C" w14:textId="6B2A1F6D" w:rsidR="00766CA5" w:rsidRPr="005B1E13" w:rsidRDefault="00766CA5" w:rsidP="005B1E13">
      <w:pPr>
        <w:jc w:val="both"/>
      </w:pPr>
      <w:r w:rsidRPr="005B1E13">
        <w:t>* BCh - karsto proceso kaitą indikuojan</w:t>
      </w:r>
      <w:r w:rsidR="000A7112" w:rsidRPr="005B1E13">
        <w:t>tys</w:t>
      </w:r>
      <w:r w:rsidRPr="005B1E13">
        <w:t xml:space="preserve"> vandens bendrosios cheminė sudėties parametr</w:t>
      </w:r>
      <w:r w:rsidR="000A7112" w:rsidRPr="005B1E13">
        <w:t>ai</w:t>
      </w:r>
      <w:r w:rsidRPr="005B1E13">
        <w:t xml:space="preserve"> (permanganato indeksas, bendrasis kietumas, savitasis elektros laidis, pH, chloridas, sulfatas, hidrokarbonatas, nitritas, nitratas, natrio jonas, kalio jonas, kalcio jonas, magnio jonas, amonio jonas)</w:t>
      </w:r>
      <w:r w:rsidR="000A7112" w:rsidRPr="005B1E13">
        <w:t>, tiriama 2 k. per metus, bus atrinkta 30 techniškai tvarkingų, tyrimams tinkamiausių gręžinių iš sąrašo.</w:t>
      </w:r>
    </w:p>
    <w:p w14:paraId="2EBB3C53" w14:textId="12F0006F" w:rsidR="000A7112" w:rsidRPr="005B1E13" w:rsidRDefault="00766CA5" w:rsidP="005B1E13">
      <w:pPr>
        <w:jc w:val="both"/>
        <w:rPr>
          <w:color w:val="000000"/>
        </w:rPr>
      </w:pPr>
      <w:r w:rsidRPr="005B1E13">
        <w:t xml:space="preserve">** </w:t>
      </w:r>
      <w:r w:rsidR="000A7112" w:rsidRPr="005B1E13">
        <w:rPr>
          <w:color w:val="000000"/>
        </w:rPr>
        <w:t>vandens lygis matuojamas 2 kartą per metus rankiniu lygio matuokliu, bus parinkti 5 gręžiniai, kuriuose lygis bus matuojamas automatiniu lygio davikliu vieną kartą per parą.</w:t>
      </w:r>
    </w:p>
    <w:p w14:paraId="613444DD" w14:textId="77777777" w:rsidR="000A7112" w:rsidRDefault="000A7112" w:rsidP="000A7112">
      <w:pPr>
        <w:rPr>
          <w:color w:val="000000"/>
          <w:sz w:val="22"/>
          <w:szCs w:val="22"/>
        </w:rPr>
      </w:pPr>
    </w:p>
    <w:p w14:paraId="77D8778B" w14:textId="6ADC106B" w:rsidR="00462D80" w:rsidRPr="008D52EC" w:rsidRDefault="00462D80" w:rsidP="005B1E13">
      <w:pPr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</w:t>
      </w:r>
    </w:p>
    <w:p w14:paraId="6302AD83" w14:textId="60060834" w:rsidR="00766CA5" w:rsidRDefault="00766CA5" w:rsidP="00766CA5"/>
    <w:sectPr w:rsidR="00766CA5" w:rsidSect="005B1E13">
      <w:headerReference w:type="default" r:id="rId7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A61CD" w14:textId="77777777" w:rsidR="005B1E13" w:rsidRDefault="005B1E13" w:rsidP="005B1E13">
      <w:r>
        <w:separator/>
      </w:r>
    </w:p>
  </w:endnote>
  <w:endnote w:type="continuationSeparator" w:id="0">
    <w:p w14:paraId="21307A60" w14:textId="77777777" w:rsidR="005B1E13" w:rsidRDefault="005B1E13" w:rsidP="005B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8B73E" w14:textId="77777777" w:rsidR="005B1E13" w:rsidRDefault="005B1E13" w:rsidP="005B1E13">
      <w:r>
        <w:separator/>
      </w:r>
    </w:p>
  </w:footnote>
  <w:footnote w:type="continuationSeparator" w:id="0">
    <w:p w14:paraId="359E2408" w14:textId="77777777" w:rsidR="005B1E13" w:rsidRDefault="005B1E13" w:rsidP="005B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7779126"/>
      <w:docPartObj>
        <w:docPartGallery w:val="Page Numbers (Top of Page)"/>
        <w:docPartUnique/>
      </w:docPartObj>
    </w:sdtPr>
    <w:sdtEndPr/>
    <w:sdtContent>
      <w:p w14:paraId="2C14887D" w14:textId="68A2E761" w:rsidR="005B1E13" w:rsidRDefault="005B1E1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8EF032" w14:textId="77777777" w:rsidR="005B1E13" w:rsidRDefault="005B1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B7E27"/>
    <w:multiLevelType w:val="hybridMultilevel"/>
    <w:tmpl w:val="17C06B88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96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A5"/>
    <w:rsid w:val="000A7112"/>
    <w:rsid w:val="00462D80"/>
    <w:rsid w:val="004F3A98"/>
    <w:rsid w:val="005B1E13"/>
    <w:rsid w:val="00700830"/>
    <w:rsid w:val="00766CA5"/>
    <w:rsid w:val="00845AA9"/>
    <w:rsid w:val="00AD26DB"/>
    <w:rsid w:val="00CA3538"/>
    <w:rsid w:val="00E9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E8CB"/>
  <w15:chartTrackingRefBased/>
  <w15:docId w15:val="{43C492C7-2A4A-41AC-91AC-3E0C9993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A5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C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C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C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C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C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C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C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C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C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C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C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C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6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C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6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CA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B1E13"/>
    <w:pPr>
      <w:suppressAutoHyphens/>
      <w:overflowPunct w:val="0"/>
      <w:spacing w:line="288" w:lineRule="auto"/>
      <w:ind w:firstLine="312"/>
      <w:jc w:val="both"/>
    </w:pPr>
    <w:rPr>
      <w:rFonts w:ascii="TimesLT" w:hAnsi="TimesLT" w:cs="TimesLT"/>
      <w:color w:val="00000A"/>
      <w:kern w:val="2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5B1E13"/>
    <w:rPr>
      <w:rFonts w:ascii="TimesLT" w:eastAsia="Times New Roman" w:hAnsi="TimesLT" w:cs="TimesLT"/>
      <w:color w:val="00000A"/>
      <w:szCs w:val="2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1E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E13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1E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E13"/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C4F356-C3F4-4888-B9B1-4C02A90E9D58}"/>
</file>

<file path=customXml/itemProps2.xml><?xml version="1.0" encoding="utf-8"?>
<ds:datastoreItem xmlns:ds="http://schemas.openxmlformats.org/officeDocument/2006/customXml" ds:itemID="{7E099302-8F1F-4DA9-B23B-C70F252AC696}"/>
</file>

<file path=customXml/itemProps3.xml><?xml version="1.0" encoding="utf-8"?>
<ds:datastoreItem xmlns:ds="http://schemas.openxmlformats.org/officeDocument/2006/customXml" ds:itemID="{14427183-1425-4E84-B99D-5C1E751BC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2979</Words>
  <Characters>1699</Characters>
  <Application>Microsoft Office Word</Application>
  <DocSecurity>0</DocSecurity>
  <Lines>14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Arustienė</dc:creator>
  <cp:keywords/>
  <dc:description/>
  <cp:lastModifiedBy>Daiva Pockevičiūtė</cp:lastModifiedBy>
  <cp:revision>5</cp:revision>
  <dcterms:created xsi:type="dcterms:W3CDTF">2024-06-05T11:03:00Z</dcterms:created>
  <dcterms:modified xsi:type="dcterms:W3CDTF">2024-08-27T05:36:00Z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