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68E7" w14:textId="77777777" w:rsidR="001A1648" w:rsidRPr="005C1A48" w:rsidRDefault="001A1648" w:rsidP="001A16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hAnsi="Times New Roman" w:cs="Times New Roman"/>
          <w:sz w:val="24"/>
          <w:szCs w:val="24"/>
        </w:rPr>
        <w:t>PATVIRTINTA</w:t>
      </w:r>
    </w:p>
    <w:p w14:paraId="18805DBB" w14:textId="322C6E33" w:rsidR="001A1648" w:rsidRPr="005C1A48" w:rsidRDefault="001A1648" w:rsidP="001A16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aplinkos ministro </w:t>
      </w:r>
      <w:r w:rsidRPr="005C1A48">
        <w:rPr>
          <w:rFonts w:ascii="Times New Roman" w:hAnsi="Times New Roman" w:cs="Times New Roman"/>
          <w:sz w:val="24"/>
          <w:szCs w:val="24"/>
        </w:rPr>
        <w:t xml:space="preserve">2024 m. </w:t>
      </w:r>
      <w:r w:rsidR="005F29F4">
        <w:rPr>
          <w:rFonts w:ascii="Times New Roman" w:hAnsi="Times New Roman" w:cs="Times New Roman"/>
          <w:sz w:val="24"/>
          <w:szCs w:val="24"/>
        </w:rPr>
        <w:t>liepos 17</w:t>
      </w:r>
      <w:r w:rsidRPr="005C1A48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F98937F" w14:textId="0916341F" w:rsidR="001A1648" w:rsidRPr="005C1A48" w:rsidRDefault="001A1648" w:rsidP="001A16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hAnsi="Times New Roman" w:cs="Times New Roman"/>
          <w:sz w:val="24"/>
          <w:szCs w:val="24"/>
        </w:rPr>
        <w:t>įsakymu Nr. </w:t>
      </w:r>
      <w:r w:rsidR="005F29F4">
        <w:rPr>
          <w:rFonts w:ascii="Times New Roman" w:hAnsi="Times New Roman" w:cs="Times New Roman"/>
          <w:sz w:val="24"/>
          <w:szCs w:val="24"/>
        </w:rPr>
        <w:t>V-110</w:t>
      </w:r>
    </w:p>
    <w:p w14:paraId="6B5F2A54" w14:textId="77777777" w:rsidR="001A1648" w:rsidRPr="005C1A48" w:rsidRDefault="001A1648" w:rsidP="001A1648">
      <w:pPr>
        <w:pStyle w:val="NoSpacing"/>
        <w:ind w:left="5387"/>
      </w:pPr>
    </w:p>
    <w:p w14:paraId="5B0FD241" w14:textId="77777777" w:rsidR="006A42F1" w:rsidRPr="001A1648" w:rsidRDefault="006A42F1" w:rsidP="006A4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1EA5F" w14:textId="287F84DB" w:rsidR="006A42F1" w:rsidRPr="001A1648" w:rsidRDefault="006A42F1" w:rsidP="006A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48">
        <w:rPr>
          <w:rFonts w:ascii="Times New Roman" w:hAnsi="Times New Roman" w:cs="Times New Roman"/>
          <w:b/>
          <w:sz w:val="24"/>
          <w:szCs w:val="24"/>
        </w:rPr>
        <w:t xml:space="preserve">EUROPOS BENDRIJOS SVARBOS </w:t>
      </w:r>
      <w:r w:rsidR="00307F95" w:rsidRPr="001A1648">
        <w:rPr>
          <w:rFonts w:ascii="Times New Roman" w:hAnsi="Times New Roman" w:cs="Times New Roman"/>
          <w:b/>
          <w:sz w:val="24"/>
          <w:szCs w:val="24"/>
        </w:rPr>
        <w:t>NAT</w:t>
      </w:r>
      <w:r w:rsidR="00420F2E">
        <w:rPr>
          <w:rFonts w:ascii="Times New Roman" w:hAnsi="Times New Roman" w:cs="Times New Roman"/>
          <w:b/>
          <w:sz w:val="24"/>
          <w:szCs w:val="24"/>
        </w:rPr>
        <w:t>Ū</w:t>
      </w:r>
      <w:r w:rsidR="00307F95" w:rsidRPr="001A1648">
        <w:rPr>
          <w:rFonts w:ascii="Times New Roman" w:hAnsi="Times New Roman" w:cs="Times New Roman"/>
          <w:b/>
          <w:sz w:val="24"/>
          <w:szCs w:val="24"/>
        </w:rPr>
        <w:t>RALIŲ BUVEINIŲ</w:t>
      </w:r>
      <w:r w:rsidRPr="001A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F95" w:rsidRPr="001A1648">
        <w:rPr>
          <w:rFonts w:ascii="Times New Roman" w:hAnsi="Times New Roman" w:cs="Times New Roman"/>
          <w:b/>
          <w:sz w:val="24"/>
          <w:szCs w:val="24"/>
        </w:rPr>
        <w:t>LIETUVOS TERITORIJOJE</w:t>
      </w:r>
      <w:r w:rsidRPr="001A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D51" w:rsidRPr="001A1648">
        <w:rPr>
          <w:rFonts w:ascii="Times New Roman" w:hAnsi="Times New Roman" w:cs="Times New Roman"/>
          <w:b/>
          <w:sz w:val="24"/>
          <w:szCs w:val="24"/>
        </w:rPr>
        <w:t xml:space="preserve">MONITORINGO </w:t>
      </w:r>
      <w:r w:rsidRPr="001A1648">
        <w:rPr>
          <w:rFonts w:ascii="Times New Roman" w:hAnsi="Times New Roman" w:cs="Times New Roman"/>
          <w:b/>
          <w:sz w:val="24"/>
          <w:szCs w:val="24"/>
        </w:rPr>
        <w:t>202</w:t>
      </w:r>
      <w:r w:rsidR="00A4524B" w:rsidRPr="001A1648">
        <w:rPr>
          <w:rFonts w:ascii="Times New Roman" w:hAnsi="Times New Roman" w:cs="Times New Roman"/>
          <w:b/>
          <w:sz w:val="24"/>
          <w:szCs w:val="24"/>
        </w:rPr>
        <w:t>4</w:t>
      </w:r>
      <w:r w:rsidRPr="001A1648">
        <w:rPr>
          <w:rFonts w:ascii="Times New Roman" w:hAnsi="Times New Roman" w:cs="Times New Roman"/>
          <w:b/>
          <w:sz w:val="24"/>
          <w:szCs w:val="24"/>
        </w:rPr>
        <w:t xml:space="preserve"> METŲ PLANAS</w:t>
      </w:r>
    </w:p>
    <w:p w14:paraId="2CAC0B70" w14:textId="65BCB6E0" w:rsidR="00A04BFB" w:rsidRDefault="00A04BFB" w:rsidP="006A42F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1648">
        <w:rPr>
          <w:rFonts w:ascii="Times New Roman" w:hAnsi="Times New Roman" w:cs="Times New Roman"/>
          <w:bCs/>
          <w:sz w:val="24"/>
          <w:szCs w:val="24"/>
        </w:rPr>
        <w:t>(</w:t>
      </w:r>
      <w:r w:rsidRPr="001A1648">
        <w:rPr>
          <w:rFonts w:ascii="Times New Roman" w:hAnsi="Times New Roman" w:cs="Times New Roman"/>
          <w:bCs/>
          <w:color w:val="000000"/>
          <w:sz w:val="24"/>
          <w:szCs w:val="24"/>
        </w:rPr>
        <w:t>Įgyvendinami Valstybinės aplinkos monitoringo 2024–2029 metų programos uždaviniai (</w:t>
      </w:r>
      <w:r w:rsidRPr="001A1648">
        <w:rPr>
          <w:rFonts w:ascii="Times New Roman" w:hAnsi="Times New Roman" w:cs="Times New Roman"/>
          <w:bCs/>
          <w:sz w:val="24"/>
          <w:szCs w:val="24"/>
        </w:rPr>
        <w:t xml:space="preserve">6 priedas, </w:t>
      </w:r>
      <w:r w:rsidR="00267C67" w:rsidRPr="001A1648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1A1648">
        <w:rPr>
          <w:rFonts w:ascii="Times New Roman" w:hAnsi="Times New Roman" w:cs="Times New Roman"/>
          <w:bCs/>
          <w:sz w:val="24"/>
          <w:szCs w:val="24"/>
        </w:rPr>
        <w:t>priemonė</w:t>
      </w:r>
      <w:r w:rsidR="00267C67" w:rsidRPr="001A164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67C67" w:rsidRPr="001A1648">
        <w:rPr>
          <w:rFonts w:ascii="Times New Roman" w:hAnsi="Times New Roman" w:cs="Times New Roman"/>
          <w:sz w:val="24"/>
          <w:szCs w:val="24"/>
          <w:lang w:eastAsia="lt-LT"/>
        </w:rPr>
        <w:t>atlikti Europos Bendrijos svarbos buveinių monitoringą</w:t>
      </w:r>
      <w:r w:rsidR="00267C67" w:rsidRPr="001A1648">
        <w:rPr>
          <w:rFonts w:ascii="Times New Roman" w:hAnsi="Times New Roman" w:cs="Times New Roman"/>
          <w:bCs/>
          <w:sz w:val="24"/>
          <w:szCs w:val="24"/>
        </w:rPr>
        <w:t>)</w:t>
      </w:r>
      <w:r w:rsidR="001A164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8EEC90A" w14:textId="104DC683" w:rsidR="003A21B0" w:rsidRPr="007B66FB" w:rsidRDefault="003A21B0" w:rsidP="003A21B0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Valstybinės saugomų teritorijų tarnyb</w:t>
      </w:r>
      <w:r w:rsidR="009616D0">
        <w:rPr>
          <w:szCs w:val="24"/>
        </w:rPr>
        <w:t>a</w:t>
      </w:r>
      <w:r>
        <w:rPr>
          <w:szCs w:val="24"/>
        </w:rPr>
        <w:t xml:space="preserve"> prie Aplinkos ministerijos</w:t>
      </w:r>
    </w:p>
    <w:p w14:paraId="290110D0" w14:textId="77777777" w:rsidR="003A21B0" w:rsidRPr="001A1648" w:rsidRDefault="003A21B0" w:rsidP="006A42F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73"/>
        <w:gridCol w:w="3958"/>
        <w:gridCol w:w="2239"/>
      </w:tblGrid>
      <w:tr w:rsidR="00D72DCA" w:rsidRPr="001A1648" w14:paraId="7ACB077F" w14:textId="77777777" w:rsidTr="001A1648">
        <w:tc>
          <w:tcPr>
            <w:tcW w:w="570" w:type="dxa"/>
            <w:shd w:val="clear" w:color="auto" w:fill="auto"/>
          </w:tcPr>
          <w:p w14:paraId="67C0BD9B" w14:textId="38E0A558" w:rsidR="00D72DCA" w:rsidRPr="001A1648" w:rsidRDefault="001A1648" w:rsidP="00507CAE">
            <w:pPr>
              <w:pStyle w:val="BodyText2"/>
              <w:spacing w:after="2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Eil. </w:t>
            </w:r>
            <w:r w:rsidR="00D72DCA"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6836C6D0" w14:textId="401134AA" w:rsidR="00D72DCA" w:rsidRPr="001A1648" w:rsidRDefault="001A1648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Vykdytojas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875FBCC" w14:textId="77777777" w:rsidR="00D72DCA" w:rsidRPr="001A1648" w:rsidRDefault="00D72DCA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Monitoringo objektas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149799C" w14:textId="77777777" w:rsidR="00D72DCA" w:rsidRPr="001A1648" w:rsidRDefault="00D72DCA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Monitoringo vietos</w:t>
            </w:r>
            <w:r w:rsidRPr="001A1648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footnoteReference w:id="1"/>
            </w:r>
            <w:r w:rsidRPr="001A164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(kvadratai, kvadrato  dalis, transektos)</w:t>
            </w:r>
          </w:p>
        </w:tc>
      </w:tr>
      <w:tr w:rsidR="00DF5493" w:rsidRPr="001A1648" w14:paraId="46FDD478" w14:textId="77777777" w:rsidTr="001A1648">
        <w:tc>
          <w:tcPr>
            <w:tcW w:w="570" w:type="dxa"/>
            <w:shd w:val="clear" w:color="auto" w:fill="auto"/>
          </w:tcPr>
          <w:p w14:paraId="59EB8B52" w14:textId="77777777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14:paraId="3C4CBBA8" w14:textId="17829DC8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color w:val="000000"/>
                <w:sz w:val="24"/>
                <w:szCs w:val="24"/>
              </w:rPr>
              <w:t>Aukštaitijos saugomų teritorijų direkcija</w:t>
            </w:r>
          </w:p>
        </w:tc>
        <w:tc>
          <w:tcPr>
            <w:tcW w:w="3958" w:type="dxa"/>
            <w:shd w:val="clear" w:color="auto" w:fill="auto"/>
          </w:tcPr>
          <w:p w14:paraId="66C7E0F7" w14:textId="1990E4A4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Žemyninių smėlynų, gėlųjų vandenų, viržynų ir krūmynų, pievų, pelkių, atodangų ir olų, miškų buveinės</w:t>
            </w:r>
          </w:p>
        </w:tc>
        <w:tc>
          <w:tcPr>
            <w:tcW w:w="2239" w:type="dxa"/>
            <w:shd w:val="clear" w:color="auto" w:fill="auto"/>
          </w:tcPr>
          <w:p w14:paraId="1D0E41C5" w14:textId="56BE7D71" w:rsidR="00DF5493" w:rsidRPr="001A1648" w:rsidRDefault="00DF5493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4935</w:t>
            </w:r>
            <w:r w:rsidRPr="001A1648">
              <w:rPr>
                <w:rStyle w:val="FootnoteReference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493" w:rsidRPr="001A1648" w14:paraId="55A1B427" w14:textId="77777777" w:rsidTr="001A1648">
        <w:tc>
          <w:tcPr>
            <w:tcW w:w="570" w:type="dxa"/>
            <w:shd w:val="clear" w:color="auto" w:fill="auto"/>
          </w:tcPr>
          <w:p w14:paraId="12CCD863" w14:textId="77777777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873" w:type="dxa"/>
            <w:shd w:val="clear" w:color="auto" w:fill="auto"/>
          </w:tcPr>
          <w:p w14:paraId="57960ACE" w14:textId="07CD01E8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Dzūkijos NP ir Čepkelių VGR direkcija</w:t>
            </w:r>
          </w:p>
        </w:tc>
        <w:tc>
          <w:tcPr>
            <w:tcW w:w="3958" w:type="dxa"/>
            <w:shd w:val="clear" w:color="auto" w:fill="auto"/>
          </w:tcPr>
          <w:p w14:paraId="32296D8F" w14:textId="66A03547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Žemyninių smėlynų, gėlųjų vandenų, viržynų ir krūmynų, pievų, pelkių, atodangų ir olų, miškų buveinės</w:t>
            </w:r>
          </w:p>
        </w:tc>
        <w:tc>
          <w:tcPr>
            <w:tcW w:w="2239" w:type="dxa"/>
            <w:shd w:val="clear" w:color="auto" w:fill="auto"/>
          </w:tcPr>
          <w:p w14:paraId="7A5CCFED" w14:textId="0195A00F" w:rsidR="00DF5493" w:rsidRPr="001A1648" w:rsidRDefault="00DF5493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5630</w:t>
            </w:r>
            <w:r w:rsidRPr="001A1648">
              <w:rPr>
                <w:rStyle w:val="FootnoteReference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5493" w:rsidRPr="001A1648" w14:paraId="10864D79" w14:textId="77777777" w:rsidTr="001A1648">
        <w:tc>
          <w:tcPr>
            <w:tcW w:w="570" w:type="dxa"/>
            <w:shd w:val="clear" w:color="auto" w:fill="auto"/>
          </w:tcPr>
          <w:p w14:paraId="4F10FD03" w14:textId="106FBF8A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873" w:type="dxa"/>
            <w:shd w:val="clear" w:color="auto" w:fill="auto"/>
          </w:tcPr>
          <w:p w14:paraId="59C72BAA" w14:textId="632BC1E1" w:rsidR="00DF5493" w:rsidRPr="001A1648" w:rsidRDefault="00DF5493" w:rsidP="00DF5493">
            <w:pPr>
              <w:pStyle w:val="BodyText2"/>
              <w:spacing w:after="2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color w:val="000000"/>
                <w:sz w:val="24"/>
                <w:szCs w:val="24"/>
              </w:rPr>
              <w:t>Žemaitijos saugomų teritorijų direkcija</w:t>
            </w:r>
          </w:p>
        </w:tc>
        <w:tc>
          <w:tcPr>
            <w:tcW w:w="3958" w:type="dxa"/>
            <w:shd w:val="clear" w:color="auto" w:fill="auto"/>
          </w:tcPr>
          <w:p w14:paraId="48E2EEDA" w14:textId="2B28CC7F" w:rsidR="00DF5493" w:rsidRPr="001A1648" w:rsidRDefault="00DF5493" w:rsidP="00DF5493">
            <w:pPr>
              <w:pStyle w:val="BodyText2"/>
              <w:spacing w:after="20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Žemyninių smėlynų, gėlųjų vandenų, viržynų ir krūmynų, pievų, pelkių, atodangų ir olų, miškų buveinės</w:t>
            </w:r>
          </w:p>
        </w:tc>
        <w:tc>
          <w:tcPr>
            <w:tcW w:w="2239" w:type="dxa"/>
            <w:shd w:val="clear" w:color="auto" w:fill="auto"/>
          </w:tcPr>
          <w:p w14:paraId="44F1EFB8" w14:textId="49AFB70C" w:rsidR="00DF5493" w:rsidRPr="001A1648" w:rsidRDefault="00DF5493" w:rsidP="001A1648">
            <w:pPr>
              <w:pStyle w:val="BodyText2"/>
              <w:spacing w:after="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1648">
              <w:rPr>
                <w:rFonts w:ascii="Times New Roman" w:hAnsi="Times New Roman"/>
                <w:sz w:val="24"/>
                <w:szCs w:val="24"/>
                <w:lang w:val="lt-LT"/>
              </w:rPr>
              <w:t>3715</w:t>
            </w:r>
            <w:r w:rsidRPr="001A1648">
              <w:rPr>
                <w:rStyle w:val="FootnoteReference"/>
                <w:rFonts w:ascii="Times New Roman" w:hAnsi="Times New Roman"/>
                <w:sz w:val="24"/>
                <w:szCs w:val="24"/>
                <w:lang w:val="lt-LT"/>
              </w:rPr>
              <w:footnoteReference w:id="2"/>
            </w:r>
          </w:p>
        </w:tc>
      </w:tr>
    </w:tbl>
    <w:p w14:paraId="7B9C80E2" w14:textId="77777777" w:rsidR="00D72DCA" w:rsidRPr="001A1648" w:rsidRDefault="00D72DCA" w:rsidP="006A4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DB808" w14:textId="22B373DA" w:rsidR="001A1648" w:rsidRDefault="001A1648" w:rsidP="006A4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sectPr w:rsidR="001A1648" w:rsidSect="00431315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CF5C0" w14:textId="77777777" w:rsidR="00F81D6A" w:rsidRDefault="00F81D6A" w:rsidP="00D72DCA">
      <w:pPr>
        <w:spacing w:after="0" w:line="240" w:lineRule="auto"/>
      </w:pPr>
      <w:r>
        <w:separator/>
      </w:r>
    </w:p>
  </w:endnote>
  <w:endnote w:type="continuationSeparator" w:id="0">
    <w:p w14:paraId="44DDA738" w14:textId="77777777" w:rsidR="00F81D6A" w:rsidRDefault="00F81D6A" w:rsidP="00D7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6BFF4" w14:textId="77777777" w:rsidR="00F81D6A" w:rsidRDefault="00F81D6A" w:rsidP="00D72DCA">
      <w:pPr>
        <w:spacing w:after="0" w:line="240" w:lineRule="auto"/>
      </w:pPr>
      <w:r>
        <w:separator/>
      </w:r>
    </w:p>
  </w:footnote>
  <w:footnote w:type="continuationSeparator" w:id="0">
    <w:p w14:paraId="0FE64E91" w14:textId="77777777" w:rsidR="00F81D6A" w:rsidRDefault="00F81D6A" w:rsidP="00D72DCA">
      <w:pPr>
        <w:spacing w:after="0" w:line="240" w:lineRule="auto"/>
      </w:pPr>
      <w:r>
        <w:continuationSeparator/>
      </w:r>
    </w:p>
  </w:footnote>
  <w:footnote w:id="1">
    <w:p w14:paraId="5D828CC1" w14:textId="77777777" w:rsidR="00D72DCA" w:rsidRDefault="00D72DCA" w:rsidP="00D72DCA">
      <w:pPr>
        <w:pStyle w:val="ListParagraph"/>
        <w:ind w:left="0"/>
      </w:pPr>
      <w:r>
        <w:rPr>
          <w:rStyle w:val="FootnoteReference"/>
        </w:rPr>
        <w:footnoteRef/>
      </w:r>
      <w:r>
        <w:t xml:space="preserve"> </w:t>
      </w:r>
      <w:r w:rsidRPr="008B4707">
        <w:rPr>
          <w:i/>
          <w:sz w:val="20"/>
          <w:szCs w:val="20"/>
        </w:rPr>
        <w:t>EB SVARBOS NATŪRALIŲ BUVEINIŲ PALANKIOS APSAUGOS BŪKLĖS KRITERIJŲ NUSTATYMO IR MONITORINGO SISTEMOS METODINIŲ PAGRINDŲ SUKŪRIMAS</w:t>
      </w:r>
      <w:r>
        <w:rPr>
          <w:i/>
          <w:sz w:val="20"/>
          <w:szCs w:val="20"/>
        </w:rPr>
        <w:t>,</w:t>
      </w:r>
      <w:r w:rsidRPr="008B4707">
        <w:rPr>
          <w:i/>
          <w:sz w:val="20"/>
          <w:szCs w:val="20"/>
        </w:rPr>
        <w:t xml:space="preserve"> II dalis</w:t>
      </w:r>
      <w:r>
        <w:rPr>
          <w:i/>
          <w:sz w:val="20"/>
          <w:szCs w:val="20"/>
        </w:rPr>
        <w:t>.</w:t>
      </w:r>
      <w:r w:rsidRPr="008B4707">
        <w:rPr>
          <w:i/>
          <w:sz w:val="20"/>
          <w:szCs w:val="20"/>
        </w:rPr>
        <w:t xml:space="preserve"> EB svarbos natūralių buveinių monitoringo metodinių pagrindų parengimas (Ataskaita pagal 2014 m. lapkričio mėn. 28 d. sutartį su Lietuvos Respublikos </w:t>
      </w:r>
      <w:r>
        <w:rPr>
          <w:i/>
          <w:sz w:val="20"/>
          <w:szCs w:val="20"/>
        </w:rPr>
        <w:t>a</w:t>
      </w:r>
      <w:r w:rsidRPr="008B4707">
        <w:rPr>
          <w:i/>
          <w:sz w:val="20"/>
          <w:szCs w:val="20"/>
        </w:rPr>
        <w:t>plinkos ministerija Nr. VPS-2014-188-ES), 2015, Vilnius.</w:t>
      </w:r>
    </w:p>
  </w:footnote>
  <w:footnote w:id="2">
    <w:p w14:paraId="750E174E" w14:textId="77777777" w:rsidR="00DF5493" w:rsidRPr="003A4FE6" w:rsidRDefault="00DF5493" w:rsidP="00D72DCA">
      <w:pPr>
        <w:pStyle w:val="ListParagraph"/>
        <w:ind w:left="0"/>
        <w:rPr>
          <w:sz w:val="20"/>
          <w:szCs w:val="20"/>
        </w:rPr>
      </w:pPr>
      <w:r w:rsidRPr="003A4FE6">
        <w:rPr>
          <w:rStyle w:val="FootnoteReference"/>
          <w:sz w:val="20"/>
          <w:szCs w:val="20"/>
        </w:rPr>
        <w:footnoteRef/>
      </w:r>
      <w:r w:rsidRPr="003A4FE6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</w:t>
      </w:r>
      <w:r w:rsidRPr="00F36715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igti neužbaigtus darbus. </w:t>
      </w:r>
      <w:r w:rsidRPr="003A4FE6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9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8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2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6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44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096" w:hanging="1800"/>
      </w:pPr>
      <w:rPr>
        <w:rFonts w:hint="default"/>
        <w:sz w:val="24"/>
        <w:szCs w:val="24"/>
      </w:rPr>
    </w:lvl>
  </w:abstractNum>
  <w:num w:numId="1" w16cid:durableId="23797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F1"/>
    <w:rsid w:val="001A1648"/>
    <w:rsid w:val="0021147A"/>
    <w:rsid w:val="00215DD8"/>
    <w:rsid w:val="00267C67"/>
    <w:rsid w:val="00305F2E"/>
    <w:rsid w:val="00307F95"/>
    <w:rsid w:val="003A21B0"/>
    <w:rsid w:val="00420F2E"/>
    <w:rsid w:val="00431315"/>
    <w:rsid w:val="004B0D51"/>
    <w:rsid w:val="005C76FE"/>
    <w:rsid w:val="005F29F4"/>
    <w:rsid w:val="00676048"/>
    <w:rsid w:val="006A42F1"/>
    <w:rsid w:val="006E73A0"/>
    <w:rsid w:val="0079335B"/>
    <w:rsid w:val="00845AA9"/>
    <w:rsid w:val="0087411A"/>
    <w:rsid w:val="009336B0"/>
    <w:rsid w:val="009616D0"/>
    <w:rsid w:val="00A04BFB"/>
    <w:rsid w:val="00A23C4E"/>
    <w:rsid w:val="00A4524B"/>
    <w:rsid w:val="00AE5714"/>
    <w:rsid w:val="00D72DCA"/>
    <w:rsid w:val="00DE129A"/>
    <w:rsid w:val="00DF5493"/>
    <w:rsid w:val="00E0534E"/>
    <w:rsid w:val="00E67D11"/>
    <w:rsid w:val="00EE05EF"/>
    <w:rsid w:val="00F15B76"/>
    <w:rsid w:val="00F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7ECC"/>
  <w15:docId w15:val="{931ED896-FCFD-4D05-B629-67AFB6C1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2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15"/>
    <w:rPr>
      <w:rFonts w:ascii="Tahoma" w:hAnsi="Tahoma" w:cs="Tahoma"/>
      <w:sz w:val="16"/>
      <w:szCs w:val="16"/>
    </w:rPr>
  </w:style>
  <w:style w:type="paragraph" w:customStyle="1" w:styleId="BodyText2">
    <w:name w:val="Body Text2"/>
    <w:rsid w:val="00D72DC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2D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otnoteReference">
    <w:name w:val="footnote reference"/>
    <w:semiHidden/>
    <w:unhideWhenUsed/>
    <w:rsid w:val="00D72DCA"/>
    <w:rPr>
      <w:vertAlign w:val="superscript"/>
    </w:rPr>
  </w:style>
  <w:style w:type="paragraph" w:styleId="BodyText">
    <w:name w:val="Body Text"/>
    <w:basedOn w:val="Normal"/>
    <w:link w:val="BodyTextChar"/>
    <w:rsid w:val="003A21B0"/>
    <w:pPr>
      <w:suppressAutoHyphens/>
      <w:overflowPunct w:val="0"/>
      <w:spacing w:after="0" w:line="288" w:lineRule="auto"/>
      <w:ind w:firstLine="312"/>
      <w:jc w:val="both"/>
    </w:pPr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A21B0"/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A046B-4817-47F2-BEAC-774C78C436D9}"/>
</file>

<file path=customXml/itemProps2.xml><?xml version="1.0" encoding="utf-8"?>
<ds:datastoreItem xmlns:ds="http://schemas.openxmlformats.org/officeDocument/2006/customXml" ds:itemID="{211F5694-0ACE-4409-97D2-2C31BC469E93}"/>
</file>

<file path=customXml/itemProps3.xml><?xml version="1.0" encoding="utf-8"?>
<ds:datastoreItem xmlns:ds="http://schemas.openxmlformats.org/officeDocument/2006/customXml" ds:itemID="{C6D7CA90-6EC8-46C2-ACFD-9B4CDB626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Uzdras</dc:creator>
  <cp:lastModifiedBy>Daiva Pockevičiūtė</cp:lastModifiedBy>
  <cp:revision>8</cp:revision>
  <cp:lastPrinted>2019-11-13T12:40:00Z</cp:lastPrinted>
  <dcterms:created xsi:type="dcterms:W3CDTF">2024-05-29T06:07:00Z</dcterms:created>
  <dcterms:modified xsi:type="dcterms:W3CDTF">2024-08-27T05:32:00Z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