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D9B" w14:textId="42EBE235" w:rsidR="006F7359" w:rsidRDefault="002B33C3" w:rsidP="006F7359">
      <w:pPr>
        <w:jc w:val="center"/>
        <w:rPr>
          <w:rFonts w:eastAsia="Andale Sans UI" w:cs="Tahoma"/>
          <w:b/>
          <w:bCs/>
          <w:szCs w:val="24"/>
          <w:lang w:bidi="en-US"/>
        </w:rPr>
      </w:pPr>
      <w:r>
        <w:rPr>
          <w:rFonts w:eastAsia="Calibri"/>
          <w:noProof/>
          <w:sz w:val="22"/>
          <w:szCs w:val="22"/>
          <w:lang w:eastAsia="lt-LT"/>
        </w:rPr>
        <w:drawing>
          <wp:inline distT="0" distB="0" distL="0" distR="0" wp14:anchorId="6E51F187" wp14:editId="58ABC5EC">
            <wp:extent cx="519430" cy="621665"/>
            <wp:effectExtent l="0" t="0" r="0" b="6985"/>
            <wp:docPr id="1" name="Picture 1" descr="A black and white shield with a horse and a swor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1BD1" w14:textId="77777777" w:rsidR="004B10C1" w:rsidRDefault="004B10C1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r>
        <w:rPr>
          <w:b/>
          <w:bCs/>
        </w:rPr>
        <w:t>LIETUVOS RESPUBLIKOS APLINKOS MINISTERIJOS</w:t>
      </w:r>
      <w:r>
        <w:rPr>
          <w:b/>
          <w:bCs/>
        </w:rPr>
        <w:br/>
        <w:t>KANCLERIS</w:t>
      </w:r>
    </w:p>
    <w:p w14:paraId="7B5018F5" w14:textId="77777777" w:rsidR="004B10C1" w:rsidRDefault="004B10C1" w:rsidP="004B10C1">
      <w:pPr>
        <w:tabs>
          <w:tab w:val="left" w:pos="3344"/>
          <w:tab w:val="left" w:pos="8291"/>
        </w:tabs>
        <w:autoSpaceDE w:val="0"/>
        <w:spacing w:before="120" w:after="60"/>
        <w:ind w:left="-17" w:firstLine="17"/>
        <w:jc w:val="center"/>
        <w:rPr>
          <w:b/>
          <w:bCs/>
        </w:rPr>
      </w:pPr>
      <w:bookmarkStart w:id="0" w:name="DOK_TIPAS"/>
      <w:bookmarkEnd w:id="0"/>
      <w:r w:rsidRPr="00D46887">
        <w:rPr>
          <w:b/>
          <w:bCs/>
        </w:rPr>
        <w:t>POTVARKIS</w:t>
      </w:r>
    </w:p>
    <w:p w14:paraId="4ADA6EC2" w14:textId="77777777" w:rsidR="004B10C1" w:rsidRPr="00CC60F2" w:rsidRDefault="004B10C1" w:rsidP="004B10C1">
      <w:pPr>
        <w:suppressAutoHyphens/>
        <w:spacing w:before="240"/>
        <w:jc w:val="center"/>
        <w:rPr>
          <w:b/>
          <w:lang w:val="en-US"/>
        </w:rPr>
      </w:pPr>
      <w:r w:rsidRPr="00CC60F2">
        <w:rPr>
          <w:b/>
          <w:lang w:val="en-US"/>
        </w:rPr>
        <w:t>DĖL ATLIEKŲ PREVENCIJOS IR TVARKYMO PROGRAMOS LĖŠŲ PASKIRSTYMO PRIEMONIŲ PLANO</w:t>
      </w:r>
      <w:r>
        <w:rPr>
          <w:b/>
          <w:lang w:val="en-US"/>
        </w:rPr>
        <w:t xml:space="preserve"> </w:t>
      </w:r>
      <w:r w:rsidRPr="00CC60F2">
        <w:rPr>
          <w:b/>
          <w:lang w:val="en-US"/>
        </w:rPr>
        <w:t>2025–2026 METAMS PATVIRTINIMO</w:t>
      </w:r>
    </w:p>
    <w:p w14:paraId="2165B2E5" w14:textId="77777777" w:rsidR="00C27C16" w:rsidRPr="00017438" w:rsidRDefault="00C27C16" w:rsidP="00C27C16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1" w:name="_Hlk129770246"/>
    </w:p>
    <w:p w14:paraId="558CC55F" w14:textId="28D1FB3D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 w:rsidR="00D76DA7">
        <w:rPr>
          <w:color w:val="000000"/>
          <w:szCs w:val="24"/>
          <w:lang w:eastAsia="lt-LT"/>
        </w:rPr>
        <w:t>5</w:t>
      </w:r>
      <w:r w:rsidRPr="00017438">
        <w:rPr>
          <w:color w:val="000000"/>
          <w:szCs w:val="24"/>
          <w:lang w:eastAsia="lt-LT"/>
        </w:rPr>
        <w:t xml:space="preserve"> m.</w:t>
      </w:r>
      <w:r w:rsidR="002F3C6A">
        <w:rPr>
          <w:color w:val="000000"/>
          <w:szCs w:val="24"/>
          <w:lang w:eastAsia="lt-LT"/>
        </w:rPr>
        <w:t xml:space="preserve"> </w:t>
      </w:r>
      <w:r w:rsidR="009E75FA">
        <w:rPr>
          <w:color w:val="000000"/>
          <w:szCs w:val="24"/>
          <w:lang w:eastAsia="lt-LT"/>
        </w:rPr>
        <w:t>vasario 21</w:t>
      </w:r>
      <w:r w:rsidR="00D76DA7">
        <w:rPr>
          <w:color w:val="000000"/>
          <w:szCs w:val="24"/>
          <w:lang w:eastAsia="lt-LT"/>
        </w:rPr>
        <w:t xml:space="preserve"> </w:t>
      </w:r>
      <w:r w:rsidRPr="00017438">
        <w:rPr>
          <w:color w:val="000000"/>
          <w:szCs w:val="24"/>
          <w:lang w:eastAsia="lt-LT"/>
        </w:rPr>
        <w:t xml:space="preserve">d. Nr. </w:t>
      </w:r>
      <w:r w:rsidR="009E75FA">
        <w:rPr>
          <w:color w:val="000000"/>
          <w:szCs w:val="24"/>
          <w:lang w:eastAsia="lt-LT"/>
        </w:rPr>
        <w:t>D2-19</w:t>
      </w:r>
      <w:r w:rsidR="00E576A7">
        <w:rPr>
          <w:color w:val="000000"/>
          <w:szCs w:val="24"/>
          <w:lang w:eastAsia="lt-LT"/>
        </w:rPr>
        <w:t xml:space="preserve"> </w:t>
      </w:r>
    </w:p>
    <w:p w14:paraId="147CA09C" w14:textId="77777777" w:rsidR="00C27C16" w:rsidRPr="00017438" w:rsidRDefault="00C27C16" w:rsidP="00C27C16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0C2A4503" w14:textId="77777777" w:rsidR="00C27C16" w:rsidRPr="00017438" w:rsidRDefault="00C27C16" w:rsidP="00C27C16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7F295A98" w14:textId="77777777" w:rsidR="004B10C1" w:rsidRPr="00CC60F2" w:rsidRDefault="004B10C1" w:rsidP="004B10C1">
      <w:pPr>
        <w:suppressAutoHyphens/>
        <w:ind w:firstLine="567"/>
        <w:rPr>
          <w:lang w:val="en-US"/>
        </w:rPr>
      </w:pPr>
      <w:bookmarkStart w:id="2" w:name="_Hlk120007108"/>
      <w:bookmarkEnd w:id="1"/>
      <w:r w:rsidRPr="00CC60F2">
        <w:rPr>
          <w:lang w:val="en-US"/>
        </w:rPr>
        <w:t>Vadovaudamasis Lietuvos Respublikos atliekų tvarkymo įstatymo 34 straipsnio 3 dalimi ir atsižvelgdamas į 2025 m. vasario 10 d. Strateginio planavimo darbo grupės posėdžio pasiūlymus,</w:t>
      </w:r>
    </w:p>
    <w:p w14:paraId="7085717A" w14:textId="77777777" w:rsidR="004B10C1" w:rsidRPr="00CC60F2" w:rsidRDefault="004B10C1" w:rsidP="004B10C1">
      <w:pPr>
        <w:suppressAutoHyphens/>
        <w:ind w:firstLine="567"/>
        <w:rPr>
          <w:lang w:val="en-US"/>
        </w:rPr>
      </w:pPr>
      <w:r w:rsidRPr="00CC60F2">
        <w:rPr>
          <w:lang w:val="en-US"/>
        </w:rPr>
        <w:t>t v i r t i n u Atliekų prevencijos ir tvarkymo programos lėšų paskirstymo priemonių planą 2025–2026 metams (pridedama).</w:t>
      </w:r>
    </w:p>
    <w:p w14:paraId="4A5F43B0" w14:textId="77777777" w:rsidR="004B10C1" w:rsidRDefault="004B10C1" w:rsidP="004B10C1">
      <w:pPr>
        <w:ind w:firstLine="567"/>
      </w:pPr>
    </w:p>
    <w:p w14:paraId="43B4A635" w14:textId="77777777" w:rsidR="004B10C1" w:rsidRPr="00D45510" w:rsidRDefault="004B10C1" w:rsidP="004B10C1">
      <w:pPr>
        <w:ind w:firstLine="567"/>
      </w:pPr>
    </w:p>
    <w:tbl>
      <w:tblPr>
        <w:tblW w:w="10207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820"/>
      </w:tblGrid>
      <w:tr w:rsidR="004B10C1" w:rsidRPr="00D45510" w14:paraId="1116217B" w14:textId="77777777" w:rsidTr="00DB1172">
        <w:trPr>
          <w:trHeight w:val="297"/>
        </w:trPr>
        <w:tc>
          <w:tcPr>
            <w:tcW w:w="5387" w:type="dxa"/>
            <w:vAlign w:val="bottom"/>
          </w:tcPr>
          <w:p w14:paraId="04590EFB" w14:textId="77777777" w:rsidR="004B10C1" w:rsidRPr="00D45510" w:rsidRDefault="004B10C1" w:rsidP="00DB1172">
            <w:pPr>
              <w:pStyle w:val="List"/>
              <w:snapToGrid w:val="0"/>
              <w:ind w:firstLine="708"/>
            </w:pPr>
            <w:r>
              <w:t>Aplinkos ministerijos kanclerė</w:t>
            </w:r>
          </w:p>
        </w:tc>
        <w:tc>
          <w:tcPr>
            <w:tcW w:w="4820" w:type="dxa"/>
            <w:vAlign w:val="bottom"/>
          </w:tcPr>
          <w:p w14:paraId="67A070D9" w14:textId="77777777" w:rsidR="004B10C1" w:rsidRPr="00D45510" w:rsidRDefault="004B10C1" w:rsidP="000E41F6">
            <w:pPr>
              <w:snapToGrid w:val="0"/>
              <w:ind w:right="139"/>
              <w:jc w:val="right"/>
            </w:pPr>
            <w:r>
              <w:t xml:space="preserve">              Sigita Vasiljevaitė</w:t>
            </w:r>
          </w:p>
        </w:tc>
      </w:tr>
    </w:tbl>
    <w:p w14:paraId="190F2DB3" w14:textId="77777777" w:rsidR="004B10C1" w:rsidRPr="00D45510" w:rsidRDefault="004B10C1" w:rsidP="004B10C1"/>
    <w:bookmarkEnd w:id="2"/>
    <w:p w14:paraId="7DA97CFE" w14:textId="7A735E87" w:rsidR="00AC264D" w:rsidRDefault="00AC264D" w:rsidP="00AC264D">
      <w:pPr>
        <w:tabs>
          <w:tab w:val="left" w:pos="567"/>
        </w:tabs>
        <w:jc w:val="both"/>
        <w:sectPr w:rsidR="00AC264D" w:rsidSect="00AC264D">
          <w:footerReference w:type="default" r:id="rId12"/>
          <w:footerReference w:type="first" r:id="rId13"/>
          <w:footnotePr>
            <w:pos w:val="beneathText"/>
          </w:footnotePr>
          <w:pgSz w:w="11905" w:h="16837" w:code="9"/>
          <w:pgMar w:top="1134" w:right="851" w:bottom="1134" w:left="1701" w:header="567" w:footer="567" w:gutter="0"/>
          <w:pgNumType w:start="1"/>
          <w:cols w:space="1296"/>
          <w:titlePg/>
          <w:docGrid w:linePitch="360"/>
        </w:sectPr>
      </w:pPr>
      <w:r>
        <w:tab/>
      </w:r>
      <w:r>
        <w:tab/>
      </w:r>
      <w:r>
        <w:tab/>
      </w:r>
      <w:r>
        <w:tab/>
        <w:t xml:space="preserve">                                    </w:t>
      </w:r>
    </w:p>
    <w:p w14:paraId="64D4AEFF" w14:textId="5F280FE2" w:rsidR="008A3393" w:rsidRDefault="008D4DEC" w:rsidP="004B10C1">
      <w:pPr>
        <w:ind w:left="10065" w:hanging="851"/>
        <w:rPr>
          <w:szCs w:val="24"/>
        </w:rPr>
      </w:pPr>
      <w:r>
        <w:rPr>
          <w:szCs w:val="24"/>
        </w:rPr>
        <w:lastRenderedPageBreak/>
        <w:t xml:space="preserve">  </w:t>
      </w:r>
    </w:p>
    <w:p w14:paraId="1D2F468A" w14:textId="77777777" w:rsidR="006D7937" w:rsidRDefault="006D7937" w:rsidP="00990C05">
      <w:pPr>
        <w:widowControl w:val="0"/>
        <w:suppressAutoHyphens/>
        <w:ind w:left="10065"/>
        <w:jc w:val="center"/>
        <w:rPr>
          <w:rFonts w:eastAsia="Andale Sans UI"/>
          <w:szCs w:val="24"/>
          <w:lang w:bidi="en-US"/>
        </w:rPr>
      </w:pPr>
    </w:p>
    <w:p w14:paraId="365A7A4C" w14:textId="2196FFE8" w:rsidR="00306F33" w:rsidRPr="00437482" w:rsidRDefault="00D160A4" w:rsidP="00114C54">
      <w:pPr>
        <w:widowControl w:val="0"/>
        <w:suppressAutoHyphens/>
        <w:jc w:val="center"/>
        <w:rPr>
          <w:rFonts w:eastAsia="Andale Sans UI"/>
          <w:b/>
          <w:bCs/>
          <w:spacing w:val="-8"/>
          <w:szCs w:val="24"/>
          <w:lang w:bidi="en-US"/>
        </w:rPr>
      </w:pP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ATLIEKŲ </w:t>
      </w:r>
      <w:r w:rsidRPr="00437482">
        <w:rPr>
          <w:b/>
          <w:bCs/>
          <w:spacing w:val="-8"/>
          <w:szCs w:val="24"/>
          <w:lang w:eastAsia="lt-LT"/>
        </w:rPr>
        <w:t xml:space="preserve">PREVENCIJOS IR TVARKYMO PROGRAMOS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 xml:space="preserve">LĖŠŲ PASKIRSTYMO PRIEMONIŲ PLANAS 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</w:t>
      </w:r>
      <w:r w:rsidR="007A0764">
        <w:rPr>
          <w:rFonts w:eastAsia="Andale Sans UI" w:cs="Tahoma"/>
          <w:b/>
          <w:bCs/>
          <w:spacing w:val="-8"/>
          <w:szCs w:val="24"/>
          <w:lang w:bidi="en-US"/>
        </w:rPr>
        <w:t>5</w:t>
      </w:r>
      <w:r w:rsidR="00437482" w:rsidRPr="00437482">
        <w:rPr>
          <w:rFonts w:eastAsia="Calibri"/>
          <w:b/>
          <w:spacing w:val="-8"/>
          <w:szCs w:val="24"/>
        </w:rPr>
        <w:t>–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>202</w:t>
      </w:r>
      <w:r w:rsidR="007A0764">
        <w:rPr>
          <w:rFonts w:eastAsia="Andale Sans UI" w:cs="Tahoma"/>
          <w:b/>
          <w:bCs/>
          <w:spacing w:val="-8"/>
          <w:szCs w:val="24"/>
          <w:lang w:bidi="en-US"/>
        </w:rPr>
        <w:t>6</w:t>
      </w:r>
      <w:r w:rsidR="00437482" w:rsidRPr="00437482">
        <w:rPr>
          <w:rFonts w:eastAsia="Andale Sans UI" w:cs="Tahoma"/>
          <w:b/>
          <w:bCs/>
          <w:spacing w:val="-8"/>
          <w:szCs w:val="24"/>
          <w:lang w:bidi="en-US"/>
        </w:rPr>
        <w:t xml:space="preserve"> </w:t>
      </w:r>
      <w:r w:rsidR="00595D89" w:rsidRPr="00437482">
        <w:rPr>
          <w:b/>
          <w:bCs/>
          <w:spacing w:val="-8"/>
          <w:szCs w:val="24"/>
          <w:lang w:eastAsia="lt-LT"/>
        </w:rPr>
        <w:t xml:space="preserve"> </w:t>
      </w:r>
      <w:r w:rsidRPr="00437482">
        <w:rPr>
          <w:rFonts w:eastAsia="Andale Sans UI"/>
          <w:b/>
          <w:bCs/>
          <w:spacing w:val="-8"/>
          <w:szCs w:val="24"/>
          <w:lang w:bidi="en-US"/>
        </w:rPr>
        <w:t>METAMS</w:t>
      </w:r>
    </w:p>
    <w:p w14:paraId="0E186CEF" w14:textId="77777777" w:rsidR="00D160A4" w:rsidRDefault="00D160A4" w:rsidP="00114C54">
      <w:pPr>
        <w:widowControl w:val="0"/>
        <w:suppressAutoHyphens/>
        <w:jc w:val="center"/>
        <w:rPr>
          <w:rFonts w:eastAsia="Andale Sans UI"/>
          <w:b/>
          <w:caps/>
          <w:szCs w:val="24"/>
          <w:lang w:bidi="en-US"/>
        </w:rPr>
      </w:pPr>
    </w:p>
    <w:tbl>
      <w:tblPr>
        <w:tblW w:w="14761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6393"/>
        <w:gridCol w:w="1843"/>
        <w:gridCol w:w="1845"/>
        <w:gridCol w:w="3825"/>
      </w:tblGrid>
      <w:tr w:rsidR="00595D89" w:rsidRPr="00595D89" w14:paraId="4DD9DF3E" w14:textId="77777777" w:rsidTr="008B0077">
        <w:trPr>
          <w:trHeight w:val="450"/>
        </w:trPr>
        <w:tc>
          <w:tcPr>
            <w:tcW w:w="855" w:type="dxa"/>
            <w:vAlign w:val="center"/>
            <w:hideMark/>
          </w:tcPr>
          <w:p w14:paraId="3DF67CBD" w14:textId="2917F84B" w:rsidR="00595D89" w:rsidRPr="004B10C1" w:rsidRDefault="00595D89" w:rsidP="00595D89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4B10C1">
              <w:rPr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6393" w:type="dxa"/>
            <w:vAlign w:val="center"/>
            <w:hideMark/>
          </w:tcPr>
          <w:p w14:paraId="341C3E32" w14:textId="77777777" w:rsidR="00595D89" w:rsidRPr="004B10C1" w:rsidRDefault="00595D89" w:rsidP="00595D89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4B10C1">
              <w:rPr>
                <w:b/>
                <w:bCs/>
                <w:szCs w:val="24"/>
                <w:lang w:eastAsia="lt-LT"/>
              </w:rPr>
              <w:t>Išlaidų priemonės pavadinimas</w:t>
            </w:r>
          </w:p>
        </w:tc>
        <w:tc>
          <w:tcPr>
            <w:tcW w:w="1843" w:type="dxa"/>
            <w:vAlign w:val="center"/>
            <w:hideMark/>
          </w:tcPr>
          <w:p w14:paraId="3A8ACE58" w14:textId="2948B611" w:rsidR="00595D89" w:rsidRPr="004B10C1" w:rsidRDefault="00595D89" w:rsidP="00595D89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4B10C1">
              <w:rPr>
                <w:b/>
                <w:bCs/>
                <w:szCs w:val="24"/>
                <w:lang w:eastAsia="lt-LT"/>
              </w:rPr>
              <w:t>Lėšos 202</w:t>
            </w:r>
            <w:r w:rsidR="007A0764" w:rsidRPr="004B10C1">
              <w:rPr>
                <w:b/>
                <w:bCs/>
                <w:szCs w:val="24"/>
                <w:lang w:eastAsia="lt-LT"/>
              </w:rPr>
              <w:t>5</w:t>
            </w:r>
            <w:r w:rsidRPr="004B10C1">
              <w:rPr>
                <w:b/>
                <w:bCs/>
                <w:szCs w:val="24"/>
                <w:lang w:eastAsia="lt-LT"/>
              </w:rPr>
              <w:t xml:space="preserve"> m., Eur</w:t>
            </w:r>
          </w:p>
        </w:tc>
        <w:tc>
          <w:tcPr>
            <w:tcW w:w="1845" w:type="dxa"/>
            <w:vAlign w:val="center"/>
            <w:hideMark/>
          </w:tcPr>
          <w:p w14:paraId="7A1AD910" w14:textId="1B27602A" w:rsidR="00595D89" w:rsidRPr="004B10C1" w:rsidRDefault="00595D89" w:rsidP="00595D89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4B10C1">
              <w:rPr>
                <w:b/>
                <w:bCs/>
                <w:szCs w:val="24"/>
                <w:lang w:eastAsia="lt-LT"/>
              </w:rPr>
              <w:t>Lėšos 202</w:t>
            </w:r>
            <w:r w:rsidR="007A0764" w:rsidRPr="004B10C1">
              <w:rPr>
                <w:b/>
                <w:bCs/>
                <w:szCs w:val="24"/>
                <w:lang w:eastAsia="lt-LT"/>
              </w:rPr>
              <w:t>6</w:t>
            </w:r>
            <w:r w:rsidRPr="004B10C1">
              <w:rPr>
                <w:b/>
                <w:bCs/>
                <w:szCs w:val="24"/>
                <w:lang w:eastAsia="lt-LT"/>
              </w:rPr>
              <w:t> m., Eur</w:t>
            </w:r>
          </w:p>
        </w:tc>
        <w:tc>
          <w:tcPr>
            <w:tcW w:w="3825" w:type="dxa"/>
            <w:vAlign w:val="center"/>
            <w:hideMark/>
          </w:tcPr>
          <w:p w14:paraId="73062582" w14:textId="77777777" w:rsidR="00595D89" w:rsidRPr="004B10C1" w:rsidRDefault="00595D89" w:rsidP="00595D89">
            <w:pPr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4B10C1">
              <w:rPr>
                <w:b/>
                <w:bCs/>
                <w:szCs w:val="24"/>
                <w:lang w:eastAsia="lt-LT"/>
              </w:rPr>
              <w:t>Priemonę administruojanti institucija</w:t>
            </w:r>
          </w:p>
        </w:tc>
      </w:tr>
      <w:tr w:rsidR="00595D89" w:rsidRPr="00595D89" w14:paraId="7D7CA6B5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A562078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</w:t>
            </w:r>
          </w:p>
        </w:tc>
        <w:tc>
          <w:tcPr>
            <w:tcW w:w="6393" w:type="dxa"/>
            <w:vAlign w:val="center"/>
            <w:hideMark/>
          </w:tcPr>
          <w:p w14:paraId="1528785C" w14:textId="5BBA5FEF" w:rsidR="00595D89" w:rsidRPr="00CD71EC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 xml:space="preserve">Atliekų </w:t>
            </w:r>
            <w:r w:rsidR="00595D89" w:rsidRPr="00CD71EC">
              <w:rPr>
                <w:szCs w:val="24"/>
                <w:lang w:eastAsia="lt-LT"/>
              </w:rPr>
              <w:t>prevencijos, tvarkymo, apskaitos ir kontrolės sistemų kūrimui, funkcionavimui ir vystymui, įskaitant investicinių projektų įgyvendinimą</w:t>
            </w:r>
          </w:p>
        </w:tc>
        <w:tc>
          <w:tcPr>
            <w:tcW w:w="1843" w:type="dxa"/>
            <w:vAlign w:val="center"/>
            <w:hideMark/>
          </w:tcPr>
          <w:p w14:paraId="4C9E0FF4" w14:textId="335037C2" w:rsidR="004F6F68" w:rsidRPr="00E41109" w:rsidRDefault="004F6F68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E41109">
              <w:rPr>
                <w:b/>
                <w:bCs/>
                <w:szCs w:val="24"/>
                <w:lang w:eastAsia="lt-LT"/>
              </w:rPr>
              <w:t>125 000</w:t>
            </w:r>
          </w:p>
        </w:tc>
        <w:tc>
          <w:tcPr>
            <w:tcW w:w="1845" w:type="dxa"/>
            <w:hideMark/>
          </w:tcPr>
          <w:p w14:paraId="66D6D5C3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5AD376A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3DE5812F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E43BDDF" w14:textId="100764C8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1.1.</w:t>
            </w:r>
          </w:p>
        </w:tc>
        <w:tc>
          <w:tcPr>
            <w:tcW w:w="6393" w:type="dxa"/>
            <w:vAlign w:val="center"/>
          </w:tcPr>
          <w:p w14:paraId="37D7F98A" w14:textId="64D9358A" w:rsidR="00004B13" w:rsidRPr="007A0764" w:rsidRDefault="007A0764" w:rsidP="007A0764">
            <w:pPr>
              <w:rPr>
                <w:szCs w:val="24"/>
                <w:lang w:eastAsia="lt-LT"/>
              </w:rPr>
            </w:pPr>
            <w:r w:rsidRPr="007A0764">
              <w:rPr>
                <w:szCs w:val="24"/>
              </w:rPr>
              <w:t>Vieningos gaminių, pakuočių ir atliekų apskaitos informacinės sistemos (</w:t>
            </w:r>
            <w:r w:rsidR="00837344">
              <w:rPr>
                <w:szCs w:val="24"/>
              </w:rPr>
              <w:t xml:space="preserve">toliau – </w:t>
            </w:r>
            <w:r w:rsidRPr="007A0764">
              <w:rPr>
                <w:szCs w:val="24"/>
              </w:rPr>
              <w:t>GPAIS) palaikymas ir vystymas</w:t>
            </w:r>
          </w:p>
        </w:tc>
        <w:tc>
          <w:tcPr>
            <w:tcW w:w="1843" w:type="dxa"/>
            <w:vAlign w:val="center"/>
          </w:tcPr>
          <w:p w14:paraId="738D01C4" w14:textId="7F05F5BD" w:rsidR="00004B13" w:rsidRPr="00CD71EC" w:rsidRDefault="007A0764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450</w:t>
            </w:r>
            <w:r w:rsidR="00004B13" w:rsidRPr="00CD71EC">
              <w:rPr>
                <w:color w:val="000000"/>
                <w:szCs w:val="24"/>
              </w:rPr>
              <w:t xml:space="preserve"> 000</w:t>
            </w:r>
          </w:p>
        </w:tc>
        <w:tc>
          <w:tcPr>
            <w:tcW w:w="1845" w:type="dxa"/>
          </w:tcPr>
          <w:p w14:paraId="0389A5DB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2AC7A87" w14:textId="5C94D2AD" w:rsidR="00004B13" w:rsidRPr="00CD71EC" w:rsidRDefault="001F57A2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 xml:space="preserve">Aplinkos ministerijos </w:t>
            </w:r>
            <w:r w:rsidR="00004B13" w:rsidRPr="00CD71EC">
              <w:rPr>
                <w:color w:val="000000"/>
                <w:szCs w:val="24"/>
              </w:rPr>
              <w:t>Atliekų politikos grupė</w:t>
            </w:r>
          </w:p>
        </w:tc>
      </w:tr>
      <w:tr w:rsidR="007A0764" w:rsidRPr="00004B13" w14:paraId="48AF1F89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4AE906D6" w14:textId="35FA9C6E" w:rsidR="007A0764" w:rsidRPr="00CD71EC" w:rsidRDefault="007A0764" w:rsidP="007A0764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1.2.</w:t>
            </w:r>
          </w:p>
        </w:tc>
        <w:tc>
          <w:tcPr>
            <w:tcW w:w="6393" w:type="dxa"/>
            <w:vAlign w:val="center"/>
          </w:tcPr>
          <w:p w14:paraId="68B82CEA" w14:textId="2E2B534E" w:rsidR="007A0764" w:rsidRPr="00CD71EC" w:rsidRDefault="007A0764" w:rsidP="007A0764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projektų vadovo ir  produkto savininko paslaugos GPAIS palaikyti ir vystyti</w:t>
            </w:r>
          </w:p>
        </w:tc>
        <w:tc>
          <w:tcPr>
            <w:tcW w:w="1843" w:type="dxa"/>
            <w:vAlign w:val="center"/>
          </w:tcPr>
          <w:p w14:paraId="7C9FF06F" w14:textId="3E8BB6A0" w:rsidR="007A0764" w:rsidRPr="008F0632" w:rsidRDefault="007A0764" w:rsidP="007A0764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70 000</w:t>
            </w:r>
          </w:p>
        </w:tc>
        <w:tc>
          <w:tcPr>
            <w:tcW w:w="1845" w:type="dxa"/>
          </w:tcPr>
          <w:p w14:paraId="1ED7D3F4" w14:textId="77777777" w:rsidR="007A0764" w:rsidRPr="00CD71EC" w:rsidRDefault="007A0764" w:rsidP="007A0764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8EAF468" w14:textId="5D1320ED" w:rsidR="007A0764" w:rsidRPr="00CD71EC" w:rsidRDefault="007A0764" w:rsidP="007A0764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ministerijos Atliekų politikos grupė</w:t>
            </w:r>
          </w:p>
        </w:tc>
      </w:tr>
      <w:tr w:rsidR="00004B13" w:rsidRPr="00004B13" w14:paraId="0AC87640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67AF2A87" w14:textId="4EF7A144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1.3.</w:t>
            </w:r>
          </w:p>
        </w:tc>
        <w:tc>
          <w:tcPr>
            <w:tcW w:w="6393" w:type="dxa"/>
            <w:vAlign w:val="center"/>
          </w:tcPr>
          <w:p w14:paraId="45FF73F4" w14:textId="3F8DBC45" w:rsidR="00004B13" w:rsidRPr="00CD71EC" w:rsidRDefault="00004B13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1843" w:type="dxa"/>
            <w:vAlign w:val="center"/>
          </w:tcPr>
          <w:p w14:paraId="74103B98" w14:textId="0CB5847B" w:rsidR="00004B13" w:rsidRPr="00CD71EC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55 000</w:t>
            </w:r>
          </w:p>
        </w:tc>
        <w:tc>
          <w:tcPr>
            <w:tcW w:w="1845" w:type="dxa"/>
          </w:tcPr>
          <w:p w14:paraId="2DCB1BE6" w14:textId="77777777" w:rsidR="00004B13" w:rsidRPr="00CD71EC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63FA0CC3" w14:textId="41E31863" w:rsidR="00004B13" w:rsidRPr="00CD71EC" w:rsidRDefault="00004B13" w:rsidP="00004B13">
            <w:pPr>
              <w:rPr>
                <w:szCs w:val="24"/>
                <w:lang w:eastAsia="lt-LT"/>
              </w:rPr>
            </w:pPr>
            <w:r w:rsidRPr="00CD71EC">
              <w:rPr>
                <w:color w:val="000000"/>
                <w:szCs w:val="24"/>
              </w:rPr>
              <w:t>Aplinkos apsaugos agentūra </w:t>
            </w:r>
          </w:p>
        </w:tc>
      </w:tr>
      <w:tr w:rsidR="00595D89" w:rsidRPr="00595D89" w14:paraId="040F475D" w14:textId="77777777" w:rsidTr="007412BA">
        <w:trPr>
          <w:trHeight w:val="345"/>
        </w:trPr>
        <w:tc>
          <w:tcPr>
            <w:tcW w:w="855" w:type="dxa"/>
            <w:vAlign w:val="center"/>
            <w:hideMark/>
          </w:tcPr>
          <w:p w14:paraId="3214621E" w14:textId="77777777" w:rsidR="00595D89" w:rsidRPr="008F0632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2.</w:t>
            </w:r>
          </w:p>
        </w:tc>
        <w:tc>
          <w:tcPr>
            <w:tcW w:w="6393" w:type="dxa"/>
            <w:vAlign w:val="center"/>
            <w:hideMark/>
          </w:tcPr>
          <w:p w14:paraId="5304F62F" w14:textId="402B6435" w:rsidR="00595D89" w:rsidRPr="008F0632" w:rsidRDefault="00B64A0C" w:rsidP="00004B13">
            <w:pPr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 xml:space="preserve">Dotacijos </w:t>
            </w:r>
            <w:r w:rsidR="00595D89" w:rsidRPr="008F0632">
              <w:rPr>
                <w:szCs w:val="24"/>
                <w:lang w:eastAsia="lt-LT"/>
              </w:rPr>
              <w:t>savivaldybėms ir subsidijos ūkio subjektams</w:t>
            </w:r>
          </w:p>
        </w:tc>
        <w:tc>
          <w:tcPr>
            <w:tcW w:w="1843" w:type="dxa"/>
            <w:vAlign w:val="center"/>
            <w:hideMark/>
          </w:tcPr>
          <w:p w14:paraId="00654863" w14:textId="18859B82" w:rsidR="00595D89" w:rsidRPr="007A0764" w:rsidRDefault="007A0764" w:rsidP="00004B13">
            <w:pPr>
              <w:ind w:firstLine="60"/>
              <w:jc w:val="center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7A0764">
              <w:rPr>
                <w:b/>
                <w:bCs/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  <w:hideMark/>
          </w:tcPr>
          <w:p w14:paraId="4896B33D" w14:textId="77777777" w:rsidR="00595D89" w:rsidRPr="008F0632" w:rsidRDefault="00595D89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58670A9E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 </w:t>
            </w:r>
          </w:p>
        </w:tc>
      </w:tr>
      <w:tr w:rsidR="00004B13" w:rsidRPr="00004B13" w14:paraId="362381CC" w14:textId="77777777" w:rsidTr="008B0077">
        <w:trPr>
          <w:trHeight w:val="548"/>
        </w:trPr>
        <w:tc>
          <w:tcPr>
            <w:tcW w:w="855" w:type="dxa"/>
            <w:vAlign w:val="center"/>
          </w:tcPr>
          <w:p w14:paraId="23DCBF58" w14:textId="052A5EB7" w:rsidR="00004B13" w:rsidRPr="008F0632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2.1.</w:t>
            </w:r>
          </w:p>
        </w:tc>
        <w:tc>
          <w:tcPr>
            <w:tcW w:w="6393" w:type="dxa"/>
            <w:vAlign w:val="center"/>
          </w:tcPr>
          <w:p w14:paraId="66A55730" w14:textId="7F4B14CC" w:rsidR="00004B13" w:rsidRPr="008F0632" w:rsidRDefault="0085165A" w:rsidP="00004B13">
            <w:pPr>
              <w:textAlignment w:val="baseline"/>
              <w:rPr>
                <w:szCs w:val="24"/>
                <w:lang w:eastAsia="lt-LT"/>
              </w:rPr>
            </w:pPr>
            <w:r w:rsidRPr="008F0632">
              <w:rPr>
                <w:szCs w:val="24"/>
                <w:lang w:eastAsia="lt-LT"/>
              </w:rPr>
              <w:t>n</w:t>
            </w:r>
            <w:r w:rsidR="00004B13" w:rsidRPr="008F0632">
              <w:rPr>
                <w:szCs w:val="24"/>
                <w:lang w:eastAsia="lt-LT"/>
              </w:rPr>
              <w:t>amų ūkiuose susidariusių asbesto atliekų tvarkymas</w:t>
            </w:r>
          </w:p>
        </w:tc>
        <w:tc>
          <w:tcPr>
            <w:tcW w:w="1843" w:type="dxa"/>
            <w:vAlign w:val="center"/>
          </w:tcPr>
          <w:p w14:paraId="700EC82E" w14:textId="3B5936C9" w:rsidR="008B0077" w:rsidRPr="008F0632" w:rsidRDefault="007A0764" w:rsidP="00004B13">
            <w:pPr>
              <w:ind w:firstLine="60"/>
              <w:jc w:val="center"/>
              <w:textAlignment w:val="baseline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300 000</w:t>
            </w:r>
          </w:p>
        </w:tc>
        <w:tc>
          <w:tcPr>
            <w:tcW w:w="1845" w:type="dxa"/>
          </w:tcPr>
          <w:p w14:paraId="022278E9" w14:textId="77777777" w:rsidR="00004B13" w:rsidRPr="008F0632" w:rsidRDefault="00004B13" w:rsidP="00595D89">
            <w:pPr>
              <w:jc w:val="center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7F854135" w14:textId="5BB021B7" w:rsidR="00004B13" w:rsidRPr="00CD71EC" w:rsidRDefault="00004B13" w:rsidP="001F57A2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Aplinkos projektų valdymo agentūra</w:t>
            </w:r>
          </w:p>
        </w:tc>
      </w:tr>
      <w:tr w:rsidR="00595D89" w:rsidRPr="00595D89" w14:paraId="32165D4C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593166D7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3.</w:t>
            </w:r>
          </w:p>
        </w:tc>
        <w:tc>
          <w:tcPr>
            <w:tcW w:w="6393" w:type="dxa"/>
            <w:vAlign w:val="center"/>
            <w:hideMark/>
          </w:tcPr>
          <w:p w14:paraId="57433ED0" w14:textId="1DB843C9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alstybinių aplinkos apsaugos institucijų ir savivaldybių, kitų subjektų, veikiančių atliekų prevencijos ir tvarkymo srityje, darbuotojų, ūkio subjektų </w:t>
            </w:r>
            <w:r w:rsidR="00B64A0C" w:rsidRPr="00CD71EC">
              <w:rPr>
                <w:szCs w:val="24"/>
                <w:lang w:eastAsia="lt-LT"/>
              </w:rPr>
              <w:t>mokymas</w:t>
            </w:r>
          </w:p>
        </w:tc>
        <w:tc>
          <w:tcPr>
            <w:tcW w:w="1843" w:type="dxa"/>
            <w:vAlign w:val="center"/>
            <w:hideMark/>
          </w:tcPr>
          <w:p w14:paraId="49CDA34E" w14:textId="2ED25CDB" w:rsidR="00595D89" w:rsidRPr="008C4B93" w:rsidRDefault="00C53F76" w:rsidP="00004B13">
            <w:pPr>
              <w:jc w:val="center"/>
              <w:rPr>
                <w:szCs w:val="24"/>
                <w:lang w:eastAsia="lt-LT"/>
              </w:rPr>
            </w:pPr>
            <w:r w:rsidRPr="008C4B93">
              <w:rPr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70FEB6D5" w14:textId="77777777" w:rsidR="00595D89" w:rsidRPr="00CD71EC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6B8FEDD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33379C88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1F05ED93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4.</w:t>
            </w:r>
          </w:p>
        </w:tc>
        <w:tc>
          <w:tcPr>
            <w:tcW w:w="6393" w:type="dxa"/>
            <w:vAlign w:val="center"/>
            <w:hideMark/>
          </w:tcPr>
          <w:p w14:paraId="4177E663" w14:textId="33DABDD5" w:rsidR="00595D89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V</w:t>
            </w:r>
            <w:r w:rsidR="00595D89" w:rsidRPr="00CD71EC">
              <w:rPr>
                <w:szCs w:val="24"/>
                <w:lang w:eastAsia="lt-LT"/>
              </w:rPr>
              <w:t xml:space="preserve">isuomenės </w:t>
            </w:r>
            <w:r w:rsidR="00B64A0C" w:rsidRPr="00CD71EC">
              <w:rPr>
                <w:szCs w:val="24"/>
                <w:lang w:eastAsia="lt-LT"/>
              </w:rPr>
              <w:t xml:space="preserve">švietimas </w:t>
            </w:r>
            <w:r w:rsidR="00595D89" w:rsidRPr="00CD71EC">
              <w:rPr>
                <w:szCs w:val="24"/>
                <w:lang w:eastAsia="lt-LT"/>
              </w:rPr>
              <w:t xml:space="preserve">ir </w:t>
            </w:r>
            <w:r w:rsidR="00B64A0C" w:rsidRPr="00CD71EC">
              <w:rPr>
                <w:szCs w:val="24"/>
                <w:lang w:eastAsia="lt-LT"/>
              </w:rPr>
              <w:t xml:space="preserve">informavimas </w:t>
            </w:r>
            <w:r w:rsidR="00595D89" w:rsidRPr="00CD71EC">
              <w:rPr>
                <w:szCs w:val="24"/>
                <w:lang w:eastAsia="lt-LT"/>
              </w:rPr>
              <w:t>žiedinės ekonomikos, atliekų prevencijos, tvarkymo, apskaitos ir kontrolės klausimais</w:t>
            </w:r>
          </w:p>
        </w:tc>
        <w:tc>
          <w:tcPr>
            <w:tcW w:w="1843" w:type="dxa"/>
            <w:vAlign w:val="center"/>
            <w:hideMark/>
          </w:tcPr>
          <w:p w14:paraId="2FCE3078" w14:textId="1C4C5309" w:rsidR="00595D89" w:rsidRPr="008C4B93" w:rsidRDefault="007A0764" w:rsidP="00004B13">
            <w:pPr>
              <w:ind w:firstLine="60"/>
              <w:jc w:val="center"/>
              <w:textAlignment w:val="baseline"/>
              <w:rPr>
                <w:strike/>
                <w:szCs w:val="24"/>
                <w:lang w:eastAsia="lt-LT"/>
              </w:rPr>
            </w:pPr>
            <w:r w:rsidRPr="008C4B93">
              <w:rPr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14263088" w14:textId="77777777" w:rsidR="00595D89" w:rsidRPr="00CD71EC" w:rsidRDefault="00595D89" w:rsidP="00595D89">
            <w:pPr>
              <w:ind w:firstLine="45"/>
              <w:jc w:val="right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  <w:tc>
          <w:tcPr>
            <w:tcW w:w="3825" w:type="dxa"/>
            <w:vAlign w:val="center"/>
            <w:hideMark/>
          </w:tcPr>
          <w:p w14:paraId="18208915" w14:textId="77777777" w:rsidR="00595D89" w:rsidRPr="00CD71EC" w:rsidRDefault="00595D89" w:rsidP="00004B13">
            <w:pPr>
              <w:ind w:firstLine="60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color w:val="D13438"/>
                <w:szCs w:val="24"/>
                <w:lang w:eastAsia="lt-LT"/>
              </w:rPr>
              <w:t> </w:t>
            </w:r>
          </w:p>
        </w:tc>
      </w:tr>
      <w:tr w:rsidR="00595D89" w:rsidRPr="00595D89" w14:paraId="6C0AA5A3" w14:textId="77777777" w:rsidTr="003A38B4">
        <w:trPr>
          <w:trHeight w:val="270"/>
        </w:trPr>
        <w:tc>
          <w:tcPr>
            <w:tcW w:w="855" w:type="dxa"/>
            <w:vAlign w:val="center"/>
            <w:hideMark/>
          </w:tcPr>
          <w:p w14:paraId="777CE631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5.</w:t>
            </w:r>
          </w:p>
        </w:tc>
        <w:tc>
          <w:tcPr>
            <w:tcW w:w="6393" w:type="dxa"/>
            <w:vAlign w:val="center"/>
            <w:hideMark/>
          </w:tcPr>
          <w:p w14:paraId="0D97EF5F" w14:textId="548B26C9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M</w:t>
            </w:r>
            <w:r w:rsidR="00595D89" w:rsidRPr="00CD71EC">
              <w:rPr>
                <w:szCs w:val="24"/>
                <w:lang w:eastAsia="lt-LT"/>
              </w:rPr>
              <w:t>okslo tiriamiesiems darbams, žiedinės ekonomikos, atliekų prevencijos ir tvarkymo srities taikomiesiems moksliniams tyrimams, aplinkos taršos atliekomis tyrimams ir stebėsenai, atliekų prevencijos ir tvarkymo strateginių dokumentų rengimui</w:t>
            </w:r>
          </w:p>
        </w:tc>
        <w:tc>
          <w:tcPr>
            <w:tcW w:w="1843" w:type="dxa"/>
            <w:vAlign w:val="center"/>
            <w:hideMark/>
          </w:tcPr>
          <w:p w14:paraId="18C6D5DF" w14:textId="058019E3" w:rsidR="00595D89" w:rsidRPr="00E41109" w:rsidRDefault="007A0764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en-GB"/>
              </w:rPr>
              <w:t>30 000</w:t>
            </w:r>
          </w:p>
        </w:tc>
        <w:tc>
          <w:tcPr>
            <w:tcW w:w="1845" w:type="dxa"/>
            <w:vAlign w:val="center"/>
            <w:hideMark/>
          </w:tcPr>
          <w:p w14:paraId="1F0794FF" w14:textId="1E6DDA35" w:rsidR="00595D89" w:rsidRPr="003A38B4" w:rsidRDefault="00595D89" w:rsidP="003A38B4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0EBAAF8" w14:textId="77777777" w:rsidR="00595D89" w:rsidRPr="00CD71EC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56B4D6BB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3468E27A" w14:textId="0F69DA9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5.1.</w:t>
            </w:r>
          </w:p>
        </w:tc>
        <w:tc>
          <w:tcPr>
            <w:tcW w:w="6393" w:type="dxa"/>
            <w:vAlign w:val="center"/>
          </w:tcPr>
          <w:p w14:paraId="36C539D6" w14:textId="1D641436" w:rsidR="00004B13" w:rsidRPr="00004B13" w:rsidRDefault="00A860AA" w:rsidP="00004B13">
            <w:pPr>
              <w:textAlignment w:val="baseline"/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</w:t>
            </w:r>
            <w:r w:rsidR="00004B13" w:rsidRPr="00004B13">
              <w:rPr>
                <w:color w:val="000000"/>
                <w:szCs w:val="24"/>
              </w:rPr>
              <w:t>plinkos taršos atliekomis tyrimai</w:t>
            </w:r>
          </w:p>
        </w:tc>
        <w:tc>
          <w:tcPr>
            <w:tcW w:w="1843" w:type="dxa"/>
            <w:vAlign w:val="center"/>
          </w:tcPr>
          <w:p w14:paraId="4748A693" w14:textId="2D1C95B4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30 000</w:t>
            </w:r>
          </w:p>
        </w:tc>
        <w:tc>
          <w:tcPr>
            <w:tcW w:w="1845" w:type="dxa"/>
          </w:tcPr>
          <w:p w14:paraId="492B3B74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1A94BA1E" w14:textId="54632E48" w:rsidR="00004B13" w:rsidRPr="00004B13" w:rsidRDefault="00004B13" w:rsidP="00004B13">
            <w:pPr>
              <w:rPr>
                <w:szCs w:val="24"/>
                <w:lang w:eastAsia="lt-LT"/>
              </w:rPr>
            </w:pPr>
            <w:r w:rsidRPr="00004B13">
              <w:rPr>
                <w:color w:val="000000"/>
                <w:szCs w:val="24"/>
              </w:rPr>
              <w:t>Aplinkos apsaugos departamentas</w:t>
            </w:r>
          </w:p>
        </w:tc>
      </w:tr>
      <w:tr w:rsidR="00595D89" w:rsidRPr="00595D89" w14:paraId="119CC06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6F814B3C" w14:textId="77777777" w:rsidR="00595D89" w:rsidRPr="00CD71EC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6.</w:t>
            </w:r>
          </w:p>
        </w:tc>
        <w:tc>
          <w:tcPr>
            <w:tcW w:w="6393" w:type="dxa"/>
            <w:vAlign w:val="center"/>
            <w:hideMark/>
          </w:tcPr>
          <w:p w14:paraId="4E302D44" w14:textId="523348B8" w:rsidR="00595D89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P</w:t>
            </w:r>
            <w:r w:rsidR="00595D89" w:rsidRPr="00CD71EC">
              <w:rPr>
                <w:szCs w:val="24"/>
                <w:lang w:eastAsia="lt-LT"/>
              </w:rPr>
              <w:t>rogramos, atliekų prevencijos ir tvarkymo valstybės politikos, aplinkos apsaugos valstybinės kontrolės įgyvendinimo ir administravimo priemonėms</w:t>
            </w:r>
          </w:p>
        </w:tc>
        <w:tc>
          <w:tcPr>
            <w:tcW w:w="1843" w:type="dxa"/>
            <w:vAlign w:val="center"/>
            <w:hideMark/>
          </w:tcPr>
          <w:p w14:paraId="294555E8" w14:textId="32CB2043" w:rsidR="00595D89" w:rsidRPr="007A0764" w:rsidRDefault="007A0764" w:rsidP="00004B13">
            <w:pPr>
              <w:jc w:val="center"/>
              <w:rPr>
                <w:strike/>
                <w:szCs w:val="24"/>
                <w:lang w:eastAsia="lt-LT"/>
              </w:rPr>
            </w:pPr>
            <w:r w:rsidRPr="007A0764">
              <w:rPr>
                <w:szCs w:val="24"/>
                <w:lang w:eastAsia="lt-LT"/>
              </w:rPr>
              <w:t>0</w:t>
            </w:r>
          </w:p>
        </w:tc>
        <w:tc>
          <w:tcPr>
            <w:tcW w:w="1845" w:type="dxa"/>
            <w:hideMark/>
          </w:tcPr>
          <w:p w14:paraId="63FD74B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D730BEA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595D89" w14:paraId="6F829151" w14:textId="77777777" w:rsidTr="00C548DE">
        <w:trPr>
          <w:trHeight w:val="270"/>
        </w:trPr>
        <w:tc>
          <w:tcPr>
            <w:tcW w:w="855" w:type="dxa"/>
            <w:vAlign w:val="center"/>
            <w:hideMark/>
          </w:tcPr>
          <w:p w14:paraId="458E6305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lastRenderedPageBreak/>
              <w:t>7.</w:t>
            </w:r>
          </w:p>
        </w:tc>
        <w:tc>
          <w:tcPr>
            <w:tcW w:w="6393" w:type="dxa"/>
            <w:vAlign w:val="center"/>
            <w:hideMark/>
          </w:tcPr>
          <w:p w14:paraId="02799FB8" w14:textId="1AF2E517" w:rsidR="00004B13" w:rsidRPr="00CD71EC" w:rsidRDefault="002C5CAC" w:rsidP="00B64A0C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B64A0C" w:rsidRPr="00CD71EC">
              <w:rPr>
                <w:szCs w:val="24"/>
                <w:lang w:eastAsia="lt-LT"/>
              </w:rPr>
              <w:t xml:space="preserve">tliekoms sutvarkyti </w:t>
            </w:r>
            <w:r w:rsidR="00004B13" w:rsidRPr="00CD71EC">
              <w:rPr>
                <w:szCs w:val="24"/>
                <w:lang w:eastAsia="lt-LT"/>
              </w:rPr>
              <w:t xml:space="preserve">ekstremaliojo įvykio arba ekstremaliosios situacijos taršos atliekomis atveju, lėšas išieškant regreso (atgręžtinio reikalavimo) teise iš atliekų turėtojo arba atliekų darytojo, vadovaujantis principu „teršėjas moka“ ir (arba) </w:t>
            </w:r>
            <w:r w:rsidR="00B64A0C" w:rsidRPr="00CD71EC">
              <w:rPr>
                <w:szCs w:val="24"/>
                <w:lang w:eastAsia="lt-LT"/>
              </w:rPr>
              <w:t xml:space="preserve">kol </w:t>
            </w:r>
            <w:r w:rsidR="00004B13" w:rsidRPr="00CD71EC">
              <w:rPr>
                <w:szCs w:val="24"/>
                <w:lang w:eastAsia="lt-LT"/>
              </w:rPr>
              <w:t>bus gautas finansavimas, vadovaujantis Lietuvos Respublikos atliekų tvarkymo įstatymo 11 straipsniu.</w:t>
            </w:r>
          </w:p>
        </w:tc>
        <w:tc>
          <w:tcPr>
            <w:tcW w:w="1843" w:type="dxa"/>
            <w:vAlign w:val="center"/>
          </w:tcPr>
          <w:p w14:paraId="0EF114B6" w14:textId="7F423DCF" w:rsidR="00004B13" w:rsidRPr="008C4B93" w:rsidRDefault="008C4B93" w:rsidP="00004B13">
            <w:pPr>
              <w:jc w:val="center"/>
              <w:rPr>
                <w:szCs w:val="24"/>
                <w:lang w:eastAsia="lt-LT"/>
              </w:rPr>
            </w:pPr>
            <w:r w:rsidRPr="008C4B93">
              <w:rPr>
                <w:szCs w:val="24"/>
              </w:rPr>
              <w:t>0</w:t>
            </w:r>
          </w:p>
        </w:tc>
        <w:tc>
          <w:tcPr>
            <w:tcW w:w="1845" w:type="dxa"/>
            <w:vAlign w:val="center"/>
            <w:hideMark/>
          </w:tcPr>
          <w:p w14:paraId="51B44CCE" w14:textId="5F994C89" w:rsidR="00004B13" w:rsidRPr="00595D89" w:rsidRDefault="00004B13" w:rsidP="008C4B9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0CF35EA5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595D89" w14:paraId="1C3A5850" w14:textId="77777777" w:rsidTr="008C4B93">
        <w:trPr>
          <w:trHeight w:val="505"/>
        </w:trPr>
        <w:tc>
          <w:tcPr>
            <w:tcW w:w="855" w:type="dxa"/>
            <w:vAlign w:val="center"/>
            <w:hideMark/>
          </w:tcPr>
          <w:p w14:paraId="7F0DC529" w14:textId="77777777" w:rsidR="00004B13" w:rsidRPr="00CD71EC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8.</w:t>
            </w:r>
          </w:p>
        </w:tc>
        <w:tc>
          <w:tcPr>
            <w:tcW w:w="6393" w:type="dxa"/>
            <w:vAlign w:val="center"/>
            <w:hideMark/>
          </w:tcPr>
          <w:p w14:paraId="4E51B619" w14:textId="2C20FD1F" w:rsidR="00004B13" w:rsidRPr="00CD71EC" w:rsidRDefault="002C5CAC" w:rsidP="00004B13">
            <w:pPr>
              <w:textAlignment w:val="baseline"/>
              <w:rPr>
                <w:szCs w:val="24"/>
                <w:lang w:eastAsia="lt-LT"/>
              </w:rPr>
            </w:pPr>
            <w:r w:rsidRPr="00CD71EC">
              <w:rPr>
                <w:szCs w:val="24"/>
                <w:lang w:eastAsia="lt-LT"/>
              </w:rPr>
              <w:t>A</w:t>
            </w:r>
            <w:r w:rsidR="00004B13" w:rsidRPr="00CD71EC">
              <w:rPr>
                <w:szCs w:val="24"/>
                <w:lang w:eastAsia="lt-LT"/>
              </w:rPr>
              <w:t>nkstesnių metų sutartiniams įsipareigojimams vykdyti</w:t>
            </w:r>
          </w:p>
        </w:tc>
        <w:tc>
          <w:tcPr>
            <w:tcW w:w="1843" w:type="dxa"/>
          </w:tcPr>
          <w:p w14:paraId="28DFF06A" w14:textId="77777777" w:rsidR="00C548DE" w:rsidRDefault="00C548DE" w:rsidP="008C4B93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2FC3AED5" w14:textId="7F45A4BD" w:rsidR="00004B13" w:rsidRPr="00E41109" w:rsidRDefault="008C4B93" w:rsidP="008C4B93">
            <w:pPr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</w:rPr>
              <w:t>569 477</w:t>
            </w:r>
          </w:p>
        </w:tc>
        <w:tc>
          <w:tcPr>
            <w:tcW w:w="1845" w:type="dxa"/>
            <w:hideMark/>
          </w:tcPr>
          <w:p w14:paraId="0116DB61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64EABBFA" w14:textId="77777777" w:rsidR="00004B13" w:rsidRPr="00595D89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0AD35E32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3D5E28E" w14:textId="491862AF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8.1.</w:t>
            </w:r>
          </w:p>
        </w:tc>
        <w:tc>
          <w:tcPr>
            <w:tcW w:w="6393" w:type="dxa"/>
            <w:vAlign w:val="center"/>
          </w:tcPr>
          <w:p w14:paraId="0F610FAC" w14:textId="43D6C3DE" w:rsidR="00004B13" w:rsidRPr="00004B13" w:rsidRDefault="008C4B93" w:rsidP="008C4B93">
            <w:pPr>
              <w:rPr>
                <w:szCs w:val="24"/>
                <w:lang w:eastAsia="lt-LT"/>
              </w:rPr>
            </w:pPr>
            <w:r w:rsidRPr="008C4B93">
              <w:rPr>
                <w:szCs w:val="24"/>
              </w:rPr>
              <w:t>GPAIS palaikymo ir vystymo paslaugoms</w:t>
            </w:r>
          </w:p>
        </w:tc>
        <w:tc>
          <w:tcPr>
            <w:tcW w:w="1843" w:type="dxa"/>
            <w:vAlign w:val="center"/>
          </w:tcPr>
          <w:p w14:paraId="19A2E1CC" w14:textId="6C2D6647" w:rsidR="00004B13" w:rsidRPr="00784C72" w:rsidRDefault="008C4B93" w:rsidP="00004B13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510 481</w:t>
            </w:r>
          </w:p>
        </w:tc>
        <w:tc>
          <w:tcPr>
            <w:tcW w:w="1845" w:type="dxa"/>
          </w:tcPr>
          <w:p w14:paraId="18BD1E50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2A409651" w14:textId="0C05E587" w:rsidR="00004B13" w:rsidRPr="00004B13" w:rsidRDefault="0078678C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Aplinkos ministerija</w:t>
            </w:r>
            <w:r w:rsidR="00004B13" w:rsidRPr="00004B13">
              <w:rPr>
                <w:color w:val="000000"/>
                <w:szCs w:val="24"/>
              </w:rPr>
              <w:t> </w:t>
            </w:r>
          </w:p>
        </w:tc>
      </w:tr>
      <w:tr w:rsidR="00004B13" w:rsidRPr="00004B13" w14:paraId="6075D101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2DC987C5" w14:textId="58796286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8.2.</w:t>
            </w:r>
          </w:p>
        </w:tc>
        <w:tc>
          <w:tcPr>
            <w:tcW w:w="6393" w:type="dxa"/>
            <w:vAlign w:val="center"/>
          </w:tcPr>
          <w:p w14:paraId="276A6EC1" w14:textId="116F68FC" w:rsidR="00004B13" w:rsidRPr="008C4B93" w:rsidRDefault="008C4B93" w:rsidP="008C4B93">
            <w:pPr>
              <w:rPr>
                <w:szCs w:val="24"/>
                <w:lang w:eastAsia="lt-LT"/>
              </w:rPr>
            </w:pPr>
            <w:r w:rsidRPr="008C4B93">
              <w:rPr>
                <w:szCs w:val="24"/>
              </w:rPr>
              <w:t>Mikroplastiko tyrimas buitinių atliekų sąvartynų aplinkos gruntiniame vandenyje</w:t>
            </w:r>
          </w:p>
        </w:tc>
        <w:tc>
          <w:tcPr>
            <w:tcW w:w="1843" w:type="dxa"/>
            <w:vAlign w:val="center"/>
          </w:tcPr>
          <w:p w14:paraId="3927A1F4" w14:textId="0751C094" w:rsidR="00004B13" w:rsidRPr="00004B13" w:rsidRDefault="008C4B93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7 750</w:t>
            </w:r>
          </w:p>
        </w:tc>
        <w:tc>
          <w:tcPr>
            <w:tcW w:w="1845" w:type="dxa"/>
          </w:tcPr>
          <w:p w14:paraId="407CDE30" w14:textId="66559C98" w:rsidR="00004B13" w:rsidRPr="00004B13" w:rsidRDefault="00004B13" w:rsidP="00AE490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4A7ACF41" w14:textId="40B4EC33" w:rsidR="008C4B93" w:rsidRPr="008C4B93" w:rsidRDefault="008C4B93" w:rsidP="008C4B93">
            <w:pPr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C4B93">
              <w:rPr>
                <w:szCs w:val="24"/>
              </w:rPr>
              <w:t>Lietuvos geologijos tarnyba</w:t>
            </w:r>
          </w:p>
          <w:p w14:paraId="1164BB65" w14:textId="7C6617DB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</w:tr>
      <w:tr w:rsidR="00004B13" w:rsidRPr="00004B13" w14:paraId="45D8081E" w14:textId="77777777" w:rsidTr="008B0077">
        <w:trPr>
          <w:trHeight w:val="270"/>
        </w:trPr>
        <w:tc>
          <w:tcPr>
            <w:tcW w:w="855" w:type="dxa"/>
            <w:vAlign w:val="center"/>
          </w:tcPr>
          <w:p w14:paraId="14A7D0DA" w14:textId="049E42D9" w:rsidR="00004B13" w:rsidRPr="00004B13" w:rsidRDefault="00004B13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004B13">
              <w:rPr>
                <w:szCs w:val="24"/>
                <w:lang w:eastAsia="lt-LT"/>
              </w:rPr>
              <w:t>8.3.</w:t>
            </w:r>
          </w:p>
        </w:tc>
        <w:tc>
          <w:tcPr>
            <w:tcW w:w="6393" w:type="dxa"/>
            <w:vAlign w:val="center"/>
          </w:tcPr>
          <w:p w14:paraId="0503F4F8" w14:textId="1D3827D5" w:rsidR="00004B13" w:rsidRPr="008C4B93" w:rsidRDefault="008C4B93" w:rsidP="008C4B93">
            <w:pPr>
              <w:rPr>
                <w:szCs w:val="24"/>
                <w:lang w:eastAsia="lt-LT"/>
              </w:rPr>
            </w:pPr>
            <w:r w:rsidRPr="008C4B93">
              <w:rPr>
                <w:szCs w:val="24"/>
              </w:rPr>
              <w:t>Pavojingų neteisėtai įvežtų atliekų (atliekos kodas 14 06 03*) laikymas</w:t>
            </w:r>
          </w:p>
        </w:tc>
        <w:tc>
          <w:tcPr>
            <w:tcW w:w="1843" w:type="dxa"/>
            <w:vAlign w:val="center"/>
          </w:tcPr>
          <w:p w14:paraId="41385509" w14:textId="77777777" w:rsidR="008C4B93" w:rsidRPr="008C4B93" w:rsidRDefault="008C4B93" w:rsidP="008C4B93">
            <w:pPr>
              <w:jc w:val="center"/>
              <w:rPr>
                <w:szCs w:val="24"/>
              </w:rPr>
            </w:pPr>
            <w:r w:rsidRPr="008C4B93">
              <w:rPr>
                <w:szCs w:val="24"/>
              </w:rPr>
              <w:t>51246</w:t>
            </w:r>
          </w:p>
          <w:p w14:paraId="03D9834C" w14:textId="6685BAFA" w:rsidR="00004B13" w:rsidRPr="00004B13" w:rsidRDefault="00004B13" w:rsidP="00004B1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845" w:type="dxa"/>
          </w:tcPr>
          <w:p w14:paraId="4A8EACBC" w14:textId="77777777" w:rsidR="00004B13" w:rsidRPr="00004B13" w:rsidRDefault="00004B13" w:rsidP="00004B13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</w:tcPr>
          <w:p w14:paraId="5E8595FE" w14:textId="37CEB98E" w:rsidR="00004B13" w:rsidRPr="00004B13" w:rsidRDefault="0078678C" w:rsidP="00004B13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Aplinkos apsaugos </w:t>
            </w:r>
            <w:r w:rsidR="005E1183">
              <w:rPr>
                <w:color w:val="000000"/>
                <w:szCs w:val="24"/>
              </w:rPr>
              <w:t>departamentas</w:t>
            </w:r>
          </w:p>
        </w:tc>
      </w:tr>
      <w:tr w:rsidR="00595D89" w:rsidRPr="00595D89" w14:paraId="72D55F1F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055AC8F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9.</w:t>
            </w:r>
          </w:p>
        </w:tc>
        <w:tc>
          <w:tcPr>
            <w:tcW w:w="6393" w:type="dxa"/>
            <w:vAlign w:val="center"/>
            <w:hideMark/>
          </w:tcPr>
          <w:p w14:paraId="06DD2FCF" w14:textId="6B939253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paskirstyta lėšų</w:t>
            </w:r>
          </w:p>
        </w:tc>
        <w:tc>
          <w:tcPr>
            <w:tcW w:w="1843" w:type="dxa"/>
            <w:vAlign w:val="center"/>
            <w:hideMark/>
          </w:tcPr>
          <w:p w14:paraId="6E7FDDE1" w14:textId="09CB1468" w:rsidR="00A830C2" w:rsidRPr="007E2C9B" w:rsidRDefault="008C4B93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1 474 477</w:t>
            </w:r>
          </w:p>
        </w:tc>
        <w:tc>
          <w:tcPr>
            <w:tcW w:w="1845" w:type="dxa"/>
            <w:hideMark/>
          </w:tcPr>
          <w:p w14:paraId="3A6FFE18" w14:textId="77777777" w:rsidR="00595D89" w:rsidRPr="00D3736A" w:rsidRDefault="00595D89" w:rsidP="008C4B93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3825" w:type="dxa"/>
            <w:vAlign w:val="center"/>
            <w:hideMark/>
          </w:tcPr>
          <w:p w14:paraId="7573B436" w14:textId="77777777" w:rsidR="00595D89" w:rsidRPr="00595D89" w:rsidRDefault="00595D89" w:rsidP="00004B13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69426C2A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7EAF0A7D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10.</w:t>
            </w:r>
          </w:p>
        </w:tc>
        <w:tc>
          <w:tcPr>
            <w:tcW w:w="6393" w:type="dxa"/>
            <w:vAlign w:val="center"/>
            <w:hideMark/>
          </w:tcPr>
          <w:p w14:paraId="1C3262B6" w14:textId="17616FA5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Nepaskirstytos lėšos</w:t>
            </w:r>
          </w:p>
        </w:tc>
        <w:tc>
          <w:tcPr>
            <w:tcW w:w="1843" w:type="dxa"/>
            <w:vAlign w:val="center"/>
            <w:hideMark/>
          </w:tcPr>
          <w:p w14:paraId="540198FD" w14:textId="15318899" w:rsidR="00D64AFA" w:rsidRPr="00D132F0" w:rsidRDefault="008C4B93" w:rsidP="00004B13">
            <w:pPr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</w:rPr>
              <w:t>920 523</w:t>
            </w:r>
          </w:p>
        </w:tc>
        <w:tc>
          <w:tcPr>
            <w:tcW w:w="1845" w:type="dxa"/>
            <w:hideMark/>
          </w:tcPr>
          <w:p w14:paraId="5C56F694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0F3E6F59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  <w:tr w:rsidR="00595D89" w:rsidRPr="00595D89" w14:paraId="19DF2834" w14:textId="77777777" w:rsidTr="008B0077">
        <w:trPr>
          <w:trHeight w:val="270"/>
        </w:trPr>
        <w:tc>
          <w:tcPr>
            <w:tcW w:w="855" w:type="dxa"/>
            <w:vAlign w:val="center"/>
            <w:hideMark/>
          </w:tcPr>
          <w:p w14:paraId="343C885C" w14:textId="77777777" w:rsidR="00595D89" w:rsidRPr="00595D89" w:rsidRDefault="00595D89" w:rsidP="00317BF7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595D89">
              <w:rPr>
                <w:szCs w:val="24"/>
                <w:lang w:eastAsia="lt-LT"/>
              </w:rPr>
              <w:t>11.</w:t>
            </w:r>
          </w:p>
        </w:tc>
        <w:tc>
          <w:tcPr>
            <w:tcW w:w="6393" w:type="dxa"/>
            <w:vAlign w:val="center"/>
            <w:hideMark/>
          </w:tcPr>
          <w:p w14:paraId="114809FE" w14:textId="1004B93A" w:rsidR="00595D89" w:rsidRPr="003E39CB" w:rsidRDefault="00595D89" w:rsidP="00004B13">
            <w:pPr>
              <w:textAlignment w:val="baseline"/>
              <w:rPr>
                <w:szCs w:val="24"/>
                <w:lang w:eastAsia="lt-LT"/>
              </w:rPr>
            </w:pPr>
            <w:r w:rsidRPr="003E39CB">
              <w:rPr>
                <w:szCs w:val="24"/>
                <w:lang w:eastAsia="lt-LT"/>
              </w:rPr>
              <w:t>Iš viso lėšų</w:t>
            </w:r>
          </w:p>
        </w:tc>
        <w:tc>
          <w:tcPr>
            <w:tcW w:w="1843" w:type="dxa"/>
            <w:vAlign w:val="center"/>
            <w:hideMark/>
          </w:tcPr>
          <w:p w14:paraId="13B3FD37" w14:textId="62E3AFFC" w:rsidR="00595D89" w:rsidRPr="002B2A12" w:rsidRDefault="00004B13" w:rsidP="00004B13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B2A12">
              <w:rPr>
                <w:b/>
                <w:bCs/>
                <w:szCs w:val="24"/>
                <w:lang w:eastAsia="lt-LT"/>
              </w:rPr>
              <w:t>2</w:t>
            </w:r>
            <w:r w:rsidR="00AE4906" w:rsidRPr="002B2A12">
              <w:rPr>
                <w:b/>
                <w:bCs/>
                <w:szCs w:val="24"/>
                <w:lang w:eastAsia="lt-LT"/>
              </w:rPr>
              <w:t> </w:t>
            </w:r>
            <w:r w:rsidRPr="002B2A12">
              <w:rPr>
                <w:b/>
                <w:bCs/>
                <w:szCs w:val="24"/>
                <w:lang w:eastAsia="lt-LT"/>
              </w:rPr>
              <w:t>395</w:t>
            </w:r>
            <w:r w:rsidR="00AE4906" w:rsidRPr="002B2A12">
              <w:rPr>
                <w:b/>
                <w:bCs/>
                <w:szCs w:val="24"/>
                <w:lang w:eastAsia="lt-LT"/>
              </w:rPr>
              <w:t xml:space="preserve"> </w:t>
            </w:r>
            <w:r w:rsidRPr="002B2A12">
              <w:rPr>
                <w:b/>
                <w:bCs/>
                <w:szCs w:val="24"/>
                <w:lang w:eastAsia="lt-LT"/>
              </w:rPr>
              <w:t>000</w:t>
            </w:r>
          </w:p>
        </w:tc>
        <w:tc>
          <w:tcPr>
            <w:tcW w:w="1845" w:type="dxa"/>
            <w:hideMark/>
          </w:tcPr>
          <w:p w14:paraId="7B05D356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  <w:tc>
          <w:tcPr>
            <w:tcW w:w="3825" w:type="dxa"/>
            <w:hideMark/>
          </w:tcPr>
          <w:p w14:paraId="29897877" w14:textId="77777777" w:rsidR="00595D89" w:rsidRPr="00595D89" w:rsidRDefault="00595D89" w:rsidP="00595D89">
            <w:pPr>
              <w:rPr>
                <w:szCs w:val="24"/>
                <w:lang w:eastAsia="lt-LT"/>
              </w:rPr>
            </w:pPr>
          </w:p>
        </w:tc>
      </w:tr>
    </w:tbl>
    <w:p w14:paraId="2116047F" w14:textId="77777777" w:rsidR="00595D89" w:rsidRPr="00595D89" w:rsidRDefault="00595D89" w:rsidP="00595D89">
      <w:pPr>
        <w:shd w:val="clear" w:color="auto" w:fill="FFFFFF"/>
        <w:rPr>
          <w:color w:val="000000"/>
          <w:szCs w:val="24"/>
          <w:lang w:eastAsia="lt-LT"/>
        </w:rPr>
      </w:pPr>
      <w:r w:rsidRPr="00595D89">
        <w:rPr>
          <w:color w:val="000000"/>
          <w:szCs w:val="24"/>
          <w:lang w:eastAsia="lt-LT"/>
        </w:rPr>
        <w:t> </w:t>
      </w:r>
    </w:p>
    <w:p w14:paraId="64B7390D" w14:textId="78F5CF21" w:rsidR="00595D89" w:rsidRPr="00595D89" w:rsidRDefault="00595D89" w:rsidP="00595D89">
      <w:pPr>
        <w:shd w:val="clear" w:color="auto" w:fill="FFFFFF"/>
        <w:ind w:firstLine="705"/>
        <w:jc w:val="center"/>
        <w:textAlignment w:val="baseline"/>
        <w:rPr>
          <w:color w:val="000000"/>
          <w:szCs w:val="24"/>
          <w:lang w:eastAsia="lt-LT"/>
        </w:rPr>
      </w:pPr>
      <w:bookmarkStart w:id="3" w:name="part_d527f5cf44694df8a07298ed0dc7ade0"/>
      <w:bookmarkEnd w:id="3"/>
      <w:r w:rsidRPr="00595D89">
        <w:rPr>
          <w:color w:val="000000"/>
          <w:szCs w:val="24"/>
          <w:lang w:eastAsia="lt-LT"/>
        </w:rPr>
        <w:t>_____________ </w:t>
      </w:r>
    </w:p>
    <w:p w14:paraId="23155D3B" w14:textId="4AB16779" w:rsidR="00B7145F" w:rsidRPr="00B7145F" w:rsidRDefault="00595D89" w:rsidP="002121D9">
      <w:pPr>
        <w:shd w:val="clear" w:color="auto" w:fill="FFFFFF"/>
        <w:rPr>
          <w:rFonts w:eastAsia="Andale Sans UI"/>
          <w:szCs w:val="24"/>
          <w:lang w:bidi="en-US"/>
        </w:rPr>
      </w:pPr>
      <w:r w:rsidRPr="00595D89">
        <w:rPr>
          <w:color w:val="000000"/>
          <w:szCs w:val="24"/>
          <w:lang w:eastAsia="lt-LT"/>
        </w:rPr>
        <w:t> </w:t>
      </w:r>
    </w:p>
    <w:sectPr w:rsidR="00B7145F" w:rsidRPr="00B7145F" w:rsidSect="002121D9">
      <w:headerReference w:type="default" r:id="rId14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F669" w14:textId="77777777" w:rsidR="00BB2598" w:rsidRDefault="00BB2598" w:rsidP="0095706F">
      <w:r>
        <w:separator/>
      </w:r>
    </w:p>
  </w:endnote>
  <w:endnote w:type="continuationSeparator" w:id="0">
    <w:p w14:paraId="23009173" w14:textId="77777777" w:rsidR="00BB2598" w:rsidRDefault="00BB2598" w:rsidP="00957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7DBED813" w14:textId="77777777" w:rsidTr="07A6DB29">
      <w:trPr>
        <w:trHeight w:val="300"/>
      </w:trPr>
      <w:tc>
        <w:tcPr>
          <w:tcW w:w="3115" w:type="dxa"/>
        </w:tcPr>
        <w:p w14:paraId="6A2D0C4A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5D3D6200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16E58227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1D743CCD" w14:textId="77777777" w:rsidR="00AC264D" w:rsidRDefault="00AC264D" w:rsidP="07A6D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00AC264D" w14:paraId="64B40B5A" w14:textId="77777777" w:rsidTr="07A6DB29">
      <w:trPr>
        <w:trHeight w:val="300"/>
      </w:trPr>
      <w:tc>
        <w:tcPr>
          <w:tcW w:w="3115" w:type="dxa"/>
        </w:tcPr>
        <w:p w14:paraId="23A411B5" w14:textId="77777777" w:rsidR="00AC264D" w:rsidRDefault="00AC264D" w:rsidP="07A6DB29">
          <w:pPr>
            <w:pStyle w:val="Header"/>
            <w:ind w:left="-115"/>
          </w:pPr>
        </w:p>
      </w:tc>
      <w:tc>
        <w:tcPr>
          <w:tcW w:w="3115" w:type="dxa"/>
        </w:tcPr>
        <w:p w14:paraId="6848022D" w14:textId="77777777" w:rsidR="00AC264D" w:rsidRDefault="00AC264D" w:rsidP="07A6DB29">
          <w:pPr>
            <w:pStyle w:val="Header"/>
            <w:jc w:val="center"/>
          </w:pPr>
        </w:p>
      </w:tc>
      <w:tc>
        <w:tcPr>
          <w:tcW w:w="3115" w:type="dxa"/>
        </w:tcPr>
        <w:p w14:paraId="2D8865BF" w14:textId="77777777" w:rsidR="00AC264D" w:rsidRDefault="00AC264D" w:rsidP="07A6DB29">
          <w:pPr>
            <w:pStyle w:val="Header"/>
            <w:ind w:right="-115"/>
            <w:jc w:val="right"/>
          </w:pPr>
        </w:p>
      </w:tc>
    </w:tr>
  </w:tbl>
  <w:p w14:paraId="6A247A06" w14:textId="77777777" w:rsidR="00AC264D" w:rsidRDefault="00AC264D" w:rsidP="07A6D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ACBC" w14:textId="77777777" w:rsidR="00BB2598" w:rsidRDefault="00BB2598" w:rsidP="0095706F">
      <w:r>
        <w:separator/>
      </w:r>
    </w:p>
  </w:footnote>
  <w:footnote w:type="continuationSeparator" w:id="0">
    <w:p w14:paraId="0F78ACFB" w14:textId="77777777" w:rsidR="00BB2598" w:rsidRDefault="00BB2598" w:rsidP="00957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BC3B" w14:textId="77777777" w:rsidR="004C4AF0" w:rsidRDefault="004C4AF0" w:rsidP="005E06B3">
    <w:pPr>
      <w:pStyle w:val="Header"/>
      <w:tabs>
        <w:tab w:val="left" w:pos="7224"/>
      </w:tabs>
    </w:pPr>
    <w:r>
      <w:tab/>
    </w:r>
    <w:r>
      <w:tab/>
      <w:t>2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3CC2"/>
    <w:multiLevelType w:val="hybridMultilevel"/>
    <w:tmpl w:val="9A6A5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73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59"/>
    <w:rsid w:val="0000230D"/>
    <w:rsid w:val="00004B13"/>
    <w:rsid w:val="00012DD1"/>
    <w:rsid w:val="000718E0"/>
    <w:rsid w:val="000D1B53"/>
    <w:rsid w:val="000D2F10"/>
    <w:rsid w:val="000D7EE6"/>
    <w:rsid w:val="000E41F6"/>
    <w:rsid w:val="000E50A6"/>
    <w:rsid w:val="000E5AC3"/>
    <w:rsid w:val="000F066B"/>
    <w:rsid w:val="000F544D"/>
    <w:rsid w:val="000F673D"/>
    <w:rsid w:val="000F67B9"/>
    <w:rsid w:val="000F6E17"/>
    <w:rsid w:val="00103087"/>
    <w:rsid w:val="00114C54"/>
    <w:rsid w:val="001233D7"/>
    <w:rsid w:val="00145675"/>
    <w:rsid w:val="001511BC"/>
    <w:rsid w:val="0016652B"/>
    <w:rsid w:val="0017106A"/>
    <w:rsid w:val="001A1411"/>
    <w:rsid w:val="001A2DB7"/>
    <w:rsid w:val="001A3587"/>
    <w:rsid w:val="001C4428"/>
    <w:rsid w:val="001E4721"/>
    <w:rsid w:val="001F54EA"/>
    <w:rsid w:val="001F57A2"/>
    <w:rsid w:val="001F739A"/>
    <w:rsid w:val="00211754"/>
    <w:rsid w:val="0021203F"/>
    <w:rsid w:val="002121D9"/>
    <w:rsid w:val="00231201"/>
    <w:rsid w:val="00240E24"/>
    <w:rsid w:val="002A4D8E"/>
    <w:rsid w:val="002B1F2D"/>
    <w:rsid w:val="002B2A12"/>
    <w:rsid w:val="002B33C3"/>
    <w:rsid w:val="002B4123"/>
    <w:rsid w:val="002B4995"/>
    <w:rsid w:val="002C5CAC"/>
    <w:rsid w:val="002D2252"/>
    <w:rsid w:val="002F3C6A"/>
    <w:rsid w:val="002F7E32"/>
    <w:rsid w:val="00306F33"/>
    <w:rsid w:val="00317BF7"/>
    <w:rsid w:val="00322817"/>
    <w:rsid w:val="0032491D"/>
    <w:rsid w:val="00326F0D"/>
    <w:rsid w:val="00332962"/>
    <w:rsid w:val="0034716E"/>
    <w:rsid w:val="00357013"/>
    <w:rsid w:val="00357323"/>
    <w:rsid w:val="00357947"/>
    <w:rsid w:val="00386E8F"/>
    <w:rsid w:val="003A38B4"/>
    <w:rsid w:val="003B648C"/>
    <w:rsid w:val="003C1B8E"/>
    <w:rsid w:val="003C2B31"/>
    <w:rsid w:val="003E0160"/>
    <w:rsid w:val="003E1FEE"/>
    <w:rsid w:val="003E3775"/>
    <w:rsid w:val="003E39CB"/>
    <w:rsid w:val="004008AC"/>
    <w:rsid w:val="00402D4B"/>
    <w:rsid w:val="004147FE"/>
    <w:rsid w:val="004227A6"/>
    <w:rsid w:val="0043444D"/>
    <w:rsid w:val="00435E73"/>
    <w:rsid w:val="00437482"/>
    <w:rsid w:val="00457835"/>
    <w:rsid w:val="0046303C"/>
    <w:rsid w:val="004639AE"/>
    <w:rsid w:val="00466338"/>
    <w:rsid w:val="00472A00"/>
    <w:rsid w:val="004916ED"/>
    <w:rsid w:val="004923E5"/>
    <w:rsid w:val="004A3FD0"/>
    <w:rsid w:val="004A4DCE"/>
    <w:rsid w:val="004A4E12"/>
    <w:rsid w:val="004B10C1"/>
    <w:rsid w:val="004C421D"/>
    <w:rsid w:val="004C4AF0"/>
    <w:rsid w:val="004D7569"/>
    <w:rsid w:val="004F6F68"/>
    <w:rsid w:val="00506A6D"/>
    <w:rsid w:val="00515FC4"/>
    <w:rsid w:val="00520609"/>
    <w:rsid w:val="00520ABB"/>
    <w:rsid w:val="005211C4"/>
    <w:rsid w:val="00531500"/>
    <w:rsid w:val="00560D20"/>
    <w:rsid w:val="00584DB8"/>
    <w:rsid w:val="00592B83"/>
    <w:rsid w:val="00594D4E"/>
    <w:rsid w:val="00595D89"/>
    <w:rsid w:val="005B7443"/>
    <w:rsid w:val="005C5C04"/>
    <w:rsid w:val="005D126A"/>
    <w:rsid w:val="005E06B3"/>
    <w:rsid w:val="005E1183"/>
    <w:rsid w:val="005E6886"/>
    <w:rsid w:val="005F711F"/>
    <w:rsid w:val="00603BD4"/>
    <w:rsid w:val="00605778"/>
    <w:rsid w:val="0062207B"/>
    <w:rsid w:val="006315C1"/>
    <w:rsid w:val="006510B8"/>
    <w:rsid w:val="006709C3"/>
    <w:rsid w:val="00670C74"/>
    <w:rsid w:val="006A4C59"/>
    <w:rsid w:val="006B2507"/>
    <w:rsid w:val="006B3E5F"/>
    <w:rsid w:val="006C4792"/>
    <w:rsid w:val="006D7937"/>
    <w:rsid w:val="006D7F5D"/>
    <w:rsid w:val="006E26E9"/>
    <w:rsid w:val="006F16A6"/>
    <w:rsid w:val="006F49A7"/>
    <w:rsid w:val="006F7359"/>
    <w:rsid w:val="00702ADD"/>
    <w:rsid w:val="0070456D"/>
    <w:rsid w:val="00705EE8"/>
    <w:rsid w:val="00707243"/>
    <w:rsid w:val="00722992"/>
    <w:rsid w:val="007363AF"/>
    <w:rsid w:val="007412BA"/>
    <w:rsid w:val="00744A53"/>
    <w:rsid w:val="007463B5"/>
    <w:rsid w:val="00754DD0"/>
    <w:rsid w:val="007555CF"/>
    <w:rsid w:val="00772357"/>
    <w:rsid w:val="0077416E"/>
    <w:rsid w:val="00784C72"/>
    <w:rsid w:val="0078678C"/>
    <w:rsid w:val="007A0764"/>
    <w:rsid w:val="007D5840"/>
    <w:rsid w:val="007D65A2"/>
    <w:rsid w:val="007E2C9B"/>
    <w:rsid w:val="007E7518"/>
    <w:rsid w:val="0082577B"/>
    <w:rsid w:val="00825B85"/>
    <w:rsid w:val="00837344"/>
    <w:rsid w:val="00846C6E"/>
    <w:rsid w:val="0085165A"/>
    <w:rsid w:val="008552ED"/>
    <w:rsid w:val="00861737"/>
    <w:rsid w:val="00867BDE"/>
    <w:rsid w:val="008A3393"/>
    <w:rsid w:val="008B0077"/>
    <w:rsid w:val="008B6572"/>
    <w:rsid w:val="008C4B93"/>
    <w:rsid w:val="008D4DEC"/>
    <w:rsid w:val="008F0632"/>
    <w:rsid w:val="00905C66"/>
    <w:rsid w:val="00910B33"/>
    <w:rsid w:val="00913965"/>
    <w:rsid w:val="00916480"/>
    <w:rsid w:val="00942747"/>
    <w:rsid w:val="0095706F"/>
    <w:rsid w:val="00973FE7"/>
    <w:rsid w:val="00976BFF"/>
    <w:rsid w:val="00990C05"/>
    <w:rsid w:val="0099374E"/>
    <w:rsid w:val="009960A8"/>
    <w:rsid w:val="009C6BF6"/>
    <w:rsid w:val="009D0C3B"/>
    <w:rsid w:val="009D60B1"/>
    <w:rsid w:val="009E75FA"/>
    <w:rsid w:val="009F59CC"/>
    <w:rsid w:val="00A12BAA"/>
    <w:rsid w:val="00A4516E"/>
    <w:rsid w:val="00A830C2"/>
    <w:rsid w:val="00A860AA"/>
    <w:rsid w:val="00A87922"/>
    <w:rsid w:val="00A914EB"/>
    <w:rsid w:val="00AB13A3"/>
    <w:rsid w:val="00AB3FC2"/>
    <w:rsid w:val="00AB4D02"/>
    <w:rsid w:val="00AC264D"/>
    <w:rsid w:val="00AC60E0"/>
    <w:rsid w:val="00AE4906"/>
    <w:rsid w:val="00AE64A1"/>
    <w:rsid w:val="00AF015B"/>
    <w:rsid w:val="00AF064C"/>
    <w:rsid w:val="00AF10BE"/>
    <w:rsid w:val="00B36D94"/>
    <w:rsid w:val="00B37A88"/>
    <w:rsid w:val="00B4328B"/>
    <w:rsid w:val="00B50EE5"/>
    <w:rsid w:val="00B64A0C"/>
    <w:rsid w:val="00B7058A"/>
    <w:rsid w:val="00B7145F"/>
    <w:rsid w:val="00B718B8"/>
    <w:rsid w:val="00BB2598"/>
    <w:rsid w:val="00BC19CF"/>
    <w:rsid w:val="00BD2ADB"/>
    <w:rsid w:val="00BD4219"/>
    <w:rsid w:val="00BE7B81"/>
    <w:rsid w:val="00BF79F8"/>
    <w:rsid w:val="00C03736"/>
    <w:rsid w:val="00C20C49"/>
    <w:rsid w:val="00C23512"/>
    <w:rsid w:val="00C27C16"/>
    <w:rsid w:val="00C344F2"/>
    <w:rsid w:val="00C43DCA"/>
    <w:rsid w:val="00C440CE"/>
    <w:rsid w:val="00C53F76"/>
    <w:rsid w:val="00C548DE"/>
    <w:rsid w:val="00C62980"/>
    <w:rsid w:val="00C67752"/>
    <w:rsid w:val="00C90466"/>
    <w:rsid w:val="00CA4E95"/>
    <w:rsid w:val="00CB0EC5"/>
    <w:rsid w:val="00CD116C"/>
    <w:rsid w:val="00CD358F"/>
    <w:rsid w:val="00CD71EC"/>
    <w:rsid w:val="00CF2B2D"/>
    <w:rsid w:val="00CF3AED"/>
    <w:rsid w:val="00D132F0"/>
    <w:rsid w:val="00D160A4"/>
    <w:rsid w:val="00D21463"/>
    <w:rsid w:val="00D239FC"/>
    <w:rsid w:val="00D23F9E"/>
    <w:rsid w:val="00D254CD"/>
    <w:rsid w:val="00D27491"/>
    <w:rsid w:val="00D3736A"/>
    <w:rsid w:val="00D37981"/>
    <w:rsid w:val="00D60638"/>
    <w:rsid w:val="00D64AFA"/>
    <w:rsid w:val="00D76DA7"/>
    <w:rsid w:val="00D81956"/>
    <w:rsid w:val="00D90F9C"/>
    <w:rsid w:val="00DA005D"/>
    <w:rsid w:val="00DD2A72"/>
    <w:rsid w:val="00DE4347"/>
    <w:rsid w:val="00E059DD"/>
    <w:rsid w:val="00E05FC1"/>
    <w:rsid w:val="00E41109"/>
    <w:rsid w:val="00E43141"/>
    <w:rsid w:val="00E576A7"/>
    <w:rsid w:val="00E756D3"/>
    <w:rsid w:val="00E865E2"/>
    <w:rsid w:val="00E912E0"/>
    <w:rsid w:val="00E9529E"/>
    <w:rsid w:val="00EA201D"/>
    <w:rsid w:val="00EB728A"/>
    <w:rsid w:val="00ED7BAB"/>
    <w:rsid w:val="00EE573F"/>
    <w:rsid w:val="00EF2AD2"/>
    <w:rsid w:val="00EF3663"/>
    <w:rsid w:val="00EF4E6D"/>
    <w:rsid w:val="00F1282C"/>
    <w:rsid w:val="00F14032"/>
    <w:rsid w:val="00F31DF3"/>
    <w:rsid w:val="00F368BF"/>
    <w:rsid w:val="00F43CE9"/>
    <w:rsid w:val="00F54F88"/>
    <w:rsid w:val="00F56724"/>
    <w:rsid w:val="00F62E8F"/>
    <w:rsid w:val="00F71186"/>
    <w:rsid w:val="00F91F11"/>
    <w:rsid w:val="00FB1F42"/>
    <w:rsid w:val="00FC3561"/>
    <w:rsid w:val="00FD4141"/>
    <w:rsid w:val="00FD5FD1"/>
    <w:rsid w:val="00FE0AB8"/>
    <w:rsid w:val="00FE7730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13F23"/>
  <w15:docId w15:val="{6DF0BD50-62F1-47FB-9CBC-923BCBD3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59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06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706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06F"/>
    <w:rPr>
      <w:rFonts w:eastAsia="Times New Roman" w:cs="Times New Roman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5706F"/>
  </w:style>
  <w:style w:type="paragraph" w:styleId="Revision">
    <w:name w:val="Revision"/>
    <w:hidden/>
    <w:uiPriority w:val="99"/>
    <w:semiHidden/>
    <w:rsid w:val="0046303C"/>
    <w:pPr>
      <w:spacing w:after="0" w:line="240" w:lineRule="auto"/>
    </w:pPr>
    <w:rPr>
      <w:rFonts w:eastAsia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63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0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03C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03C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E8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7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">
    <w:name w:val="List"/>
    <w:basedOn w:val="BodyText"/>
    <w:rsid w:val="004B10C1"/>
    <w:pPr>
      <w:suppressAutoHyphens/>
      <w:spacing w:after="0"/>
    </w:pPr>
    <w:rPr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4B10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10C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E2F4-C553-4825-AB8D-4F562BA6E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E5EC2-6CE3-47BB-94DE-966992D0C604}">
  <ds:schemaRefs>
    <ds:schemaRef ds:uri="http://purl.org/dc/dcmitype/"/>
    <ds:schemaRef ds:uri="http://schemas.microsoft.com/office/2006/metadata/properties"/>
    <ds:schemaRef ds:uri="f5aad5d0-9c26-490e-8743-a6c7ceabd501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19cf09c5-daa1-4028-a0ff-74a0be4ec5c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EC344F2-E6CA-4C81-A783-D25BB064F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2E22E4-3604-456A-A41C-25FDAE4A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Naudžiūnė</dc:creator>
  <cp:lastModifiedBy>Gražina Rapkauskienė</cp:lastModifiedBy>
  <cp:revision>5</cp:revision>
  <dcterms:created xsi:type="dcterms:W3CDTF">2025-02-17T16:33:00Z</dcterms:created>
  <dcterms:modified xsi:type="dcterms:W3CDTF">2025-02-21T12:22:00Z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