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Default="004B10C1" w:rsidP="00432C8A">
      <w:pPr>
        <w:tabs>
          <w:tab w:val="left" w:pos="3344"/>
          <w:tab w:val="left" w:pos="8291"/>
        </w:tabs>
        <w:autoSpaceDE w:val="0"/>
        <w:spacing w:before="120"/>
        <w:ind w:left="-17" w:firstLine="17"/>
        <w:jc w:val="center"/>
        <w:rPr>
          <w:b/>
          <w:bCs/>
        </w:rPr>
      </w:pPr>
      <w:r w:rsidRPr="00D46887">
        <w:rPr>
          <w:b/>
          <w:bCs/>
        </w:rPr>
        <w:t>POTVARKIS</w:t>
      </w:r>
      <w:bookmarkStart w:id="1" w:name="_Hlk120007108"/>
    </w:p>
    <w:p w14:paraId="4D34F252" w14:textId="3AF16035" w:rsidR="00532BF4" w:rsidRPr="0021406C" w:rsidRDefault="00127424" w:rsidP="00432C8A">
      <w:pPr>
        <w:tabs>
          <w:tab w:val="left" w:pos="3344"/>
          <w:tab w:val="left" w:pos="8291"/>
        </w:tabs>
        <w:autoSpaceDE w:val="0"/>
        <w:spacing w:before="120"/>
        <w:ind w:left="-17" w:firstLine="17"/>
        <w:jc w:val="center"/>
        <w:rPr>
          <w:b/>
          <w:lang w:val="sv-SE"/>
        </w:rPr>
      </w:pPr>
      <w:r>
        <w:rPr>
          <w:b/>
          <w:bCs/>
        </w:rPr>
        <w:t xml:space="preserve"> </w:t>
      </w:r>
      <w:r w:rsidR="00532BF4" w:rsidRPr="0021406C">
        <w:rPr>
          <w:b/>
          <w:lang w:val="sv-SE"/>
        </w:rPr>
        <w:t>DĖL LIETUVOS RESPUBLIKOS APLINKOS MIN</w:t>
      </w:r>
      <w:r w:rsidR="00F66347" w:rsidRPr="0021406C">
        <w:rPr>
          <w:b/>
          <w:lang w:val="sv-SE"/>
        </w:rPr>
        <w:t>I</w:t>
      </w:r>
      <w:r w:rsidR="00532BF4" w:rsidRPr="0021406C">
        <w:rPr>
          <w:b/>
          <w:lang w:val="sv-SE"/>
        </w:rPr>
        <w:t xml:space="preserve">STERIJOS KANCLERIO 2025 M. VASARIO 19 D. POTVARKIO NR. D2-17 </w:t>
      </w:r>
      <w:r w:rsidR="00532BF4">
        <w:rPr>
          <w:b/>
        </w:rPr>
        <w:t>„</w:t>
      </w:r>
      <w:r w:rsidR="00532BF4" w:rsidRPr="0021406C">
        <w:rPr>
          <w:b/>
          <w:lang w:val="sv-SE"/>
        </w:rPr>
        <w:t>DĖL APLINKOS APSAUGOS RĖMIMO PROGRAMOS LĖŠŲ PASKIRSTYMO PRIEMONIŲ PLANO 2025–2026 METAMS PATVIRTINIMO</w:t>
      </w:r>
      <w:r w:rsidR="00076805" w:rsidRPr="0021406C">
        <w:rPr>
          <w:b/>
          <w:lang w:val="sv-SE"/>
        </w:rPr>
        <w:t xml:space="preserve">“ </w:t>
      </w:r>
      <w:r w:rsidR="00532BF4" w:rsidRPr="0021406C">
        <w:rPr>
          <w:b/>
          <w:lang w:val="sv-SE"/>
        </w:rPr>
        <w:t>PAKEITIMO</w:t>
      </w:r>
    </w:p>
    <w:p w14:paraId="03410E88" w14:textId="77777777" w:rsidR="00532BF4" w:rsidRPr="00017438" w:rsidRDefault="00532BF4" w:rsidP="00127424">
      <w:pPr>
        <w:suppressAutoHyphens/>
        <w:spacing w:line="276" w:lineRule="auto"/>
        <w:jc w:val="center"/>
        <w:rPr>
          <w:b/>
          <w:color w:val="000000"/>
          <w:szCs w:val="24"/>
          <w:lang w:eastAsia="lt-LT"/>
        </w:rPr>
      </w:pPr>
      <w:bookmarkStart w:id="2" w:name="_Hlk129770246"/>
    </w:p>
    <w:p w14:paraId="71D7299B" w14:textId="6D8E67C8"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42740A">
        <w:rPr>
          <w:color w:val="000000"/>
          <w:szCs w:val="24"/>
          <w:lang w:eastAsia="lt-LT"/>
        </w:rPr>
        <w:t xml:space="preserve"> balandžio 10</w:t>
      </w:r>
      <w:r w:rsidR="00D030B3">
        <w:rPr>
          <w:color w:val="000000"/>
          <w:szCs w:val="24"/>
          <w:lang w:eastAsia="lt-LT"/>
        </w:rPr>
        <w:t xml:space="preserve"> </w:t>
      </w:r>
      <w:r w:rsidRPr="00017438">
        <w:rPr>
          <w:color w:val="000000"/>
          <w:szCs w:val="24"/>
          <w:lang w:eastAsia="lt-LT"/>
        </w:rPr>
        <w:t xml:space="preserve">d. Nr. </w:t>
      </w:r>
      <w:r>
        <w:rPr>
          <w:color w:val="000000"/>
          <w:szCs w:val="24"/>
          <w:lang w:eastAsia="lt-LT"/>
        </w:rPr>
        <w:t>D2-</w:t>
      </w:r>
      <w:r w:rsidR="0042740A">
        <w:rPr>
          <w:color w:val="000000"/>
          <w:szCs w:val="24"/>
          <w:lang w:eastAsia="lt-LT"/>
        </w:rPr>
        <w:t>49</w:t>
      </w:r>
      <w:r w:rsidR="0021406C">
        <w:rPr>
          <w:color w:val="000000"/>
          <w:szCs w:val="24"/>
          <w:lang w:eastAsia="lt-LT"/>
        </w:rPr>
        <w:t xml:space="preserve">  </w:t>
      </w:r>
      <w:r>
        <w:rPr>
          <w:color w:val="000000"/>
          <w:szCs w:val="24"/>
          <w:lang w:eastAsia="lt-LT"/>
        </w:rPr>
        <w:t xml:space="preserve"> </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7C892C64" w:rsidR="00532BF4" w:rsidRPr="001A6362" w:rsidRDefault="00532BF4" w:rsidP="00432C8A">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r w:rsidRPr="0021406C">
        <w:t>ir atsižvelgdama į Strateginio planavimo darbo grupės posėdžio 2025 m. vasario 18 d. protokol</w:t>
      </w:r>
      <w:r w:rsidR="00F2312A" w:rsidRPr="0021406C">
        <w:t>o</w:t>
      </w:r>
      <w:r w:rsidRPr="0021406C">
        <w:t xml:space="preserve"> Nr. D4-27</w:t>
      </w:r>
      <w:r w:rsidR="00C51A4D" w:rsidRPr="0021406C">
        <w:t>,</w:t>
      </w:r>
      <w:r w:rsidRPr="0021406C">
        <w:t xml:space="preserve"> kovo 4 d. protokol</w:t>
      </w:r>
      <w:r w:rsidR="00F2312A" w:rsidRPr="0021406C">
        <w:t xml:space="preserve">o </w:t>
      </w:r>
      <w:r w:rsidRPr="0021406C">
        <w:t>Nr. D4-32</w:t>
      </w:r>
      <w:r w:rsidR="00C51A4D" w:rsidRPr="0021406C">
        <w:t xml:space="preserve">, </w:t>
      </w:r>
      <w:r w:rsidR="00FA5EE3" w:rsidRPr="0021406C">
        <w:t xml:space="preserve">kovo 14 d. </w:t>
      </w:r>
      <w:r w:rsidR="00076805" w:rsidRPr="0021406C">
        <w:t xml:space="preserve">protokolų </w:t>
      </w:r>
      <w:r w:rsidR="00FA5EE3" w:rsidRPr="0021406C">
        <w:t xml:space="preserve">Nr. </w:t>
      </w:r>
      <w:r w:rsidR="00FA5EE3" w:rsidRPr="00432C8A">
        <w:t>D4-42</w:t>
      </w:r>
      <w:r w:rsidR="00DD0AE5" w:rsidRPr="00432C8A">
        <w:t xml:space="preserve"> ir </w:t>
      </w:r>
      <w:r w:rsidR="00076805" w:rsidRPr="00432C8A">
        <w:t xml:space="preserve"> </w:t>
      </w:r>
      <w:r w:rsidR="00FA5EE3" w:rsidRPr="00432C8A">
        <w:t>Nr. D4-4</w:t>
      </w:r>
      <w:r w:rsidR="00891B99" w:rsidRPr="00432C8A">
        <w:t>3</w:t>
      </w:r>
      <w:r w:rsidR="00F66347" w:rsidRPr="00432C8A">
        <w:t>, kovo 20</w:t>
      </w:r>
      <w:r w:rsidR="00DD0AE5" w:rsidRPr="00432C8A">
        <w:t xml:space="preserve"> </w:t>
      </w:r>
      <w:r w:rsidR="00F66347" w:rsidRPr="00432C8A">
        <w:t>d. protokolo Nr. D4-48</w:t>
      </w:r>
      <w:r w:rsidR="00DD0AE5" w:rsidRPr="00432C8A">
        <w:t>,</w:t>
      </w:r>
      <w:r w:rsidR="00FA5EE3" w:rsidRPr="00432C8A">
        <w:t xml:space="preserve"> </w:t>
      </w:r>
      <w:r w:rsidR="00891B99" w:rsidRPr="00432C8A">
        <w:t xml:space="preserve">kovo </w:t>
      </w:r>
      <w:r w:rsidR="00FA5EE3" w:rsidRPr="00432C8A">
        <w:t xml:space="preserve">21 </w:t>
      </w:r>
      <w:r w:rsidR="00891B99" w:rsidRPr="00432C8A">
        <w:t xml:space="preserve">d. </w:t>
      </w:r>
      <w:r w:rsidR="00FA5EE3" w:rsidRPr="00432C8A">
        <w:t>protokolo Nr. D4-49,</w:t>
      </w:r>
      <w:r w:rsidR="0021406C" w:rsidRPr="00432C8A">
        <w:t xml:space="preserve"> kovo 31 </w:t>
      </w:r>
      <w:r w:rsidR="00432C8A">
        <w:t xml:space="preserve">d. </w:t>
      </w:r>
      <w:r w:rsidR="0021406C" w:rsidRPr="00432C8A">
        <w:t>protokolo Nr. D4-55</w:t>
      </w:r>
      <w:r w:rsidR="00FA5EE3" w:rsidRPr="00432C8A">
        <w:t xml:space="preserve"> </w:t>
      </w:r>
      <w:r w:rsidR="00F2312A" w:rsidRPr="00432C8A">
        <w:t>pasiūlymus,</w:t>
      </w:r>
    </w:p>
    <w:p w14:paraId="6E41EE5D" w14:textId="2C8310B1" w:rsidR="00532BF4" w:rsidRPr="001A6362" w:rsidRDefault="00532BF4" w:rsidP="00432C8A">
      <w:pPr>
        <w:spacing w:line="276" w:lineRule="auto"/>
        <w:ind w:firstLine="567"/>
        <w:jc w:val="both"/>
      </w:pPr>
      <w:r w:rsidRPr="001A6362">
        <w:t xml:space="preserve"> </w:t>
      </w:r>
      <w:r>
        <w:t xml:space="preserve">p a k e i č i u </w:t>
      </w:r>
      <w:r w:rsidRPr="001A6362">
        <w:t xml:space="preserve">Aplinkos apsaugos rėmimo </w:t>
      </w:r>
      <w:r w:rsidRPr="00F66347">
        <w:t>programos 2025</w:t>
      </w:r>
      <w:r w:rsidR="00F66347" w:rsidRPr="00F66347">
        <w:t>–</w:t>
      </w:r>
      <w:r w:rsidRPr="00F66347">
        <w:t>2026 m</w:t>
      </w:r>
      <w:r w:rsidRPr="001A6362">
        <w:t>etų priemonių planą</w:t>
      </w:r>
      <w:r>
        <w:t>:</w:t>
      </w:r>
    </w:p>
    <w:p w14:paraId="5838FC24" w14:textId="44E09FCB" w:rsidR="00532BF4" w:rsidRDefault="00532BF4" w:rsidP="00432C8A">
      <w:pPr>
        <w:pStyle w:val="ListParagraph"/>
        <w:numPr>
          <w:ilvl w:val="0"/>
          <w:numId w:val="2"/>
        </w:numPr>
        <w:spacing w:line="276" w:lineRule="auto"/>
      </w:pPr>
      <w:r>
        <w:t xml:space="preserve">Pakeičiu </w:t>
      </w:r>
      <w:r w:rsidR="0021406C">
        <w:t>1</w:t>
      </w:r>
      <w: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1F2B5564" w14:textId="77777777" w:rsidTr="00012DE9">
        <w:trPr>
          <w:trHeight w:val="321"/>
        </w:trPr>
        <w:tc>
          <w:tcPr>
            <w:tcW w:w="709" w:type="dxa"/>
            <w:vAlign w:val="center"/>
            <w:hideMark/>
          </w:tcPr>
          <w:p w14:paraId="1D2DDCAD" w14:textId="04C03AEC" w:rsidR="00532BF4" w:rsidRPr="00532BF4" w:rsidRDefault="00FA5EE3" w:rsidP="00012DE9">
            <w:pPr>
              <w:ind w:left="-406" w:firstLine="406"/>
              <w:jc w:val="center"/>
              <w:textAlignment w:val="baseline"/>
              <w:rPr>
                <w:szCs w:val="24"/>
                <w:lang w:eastAsia="lt-LT"/>
              </w:rPr>
            </w:pPr>
            <w:r>
              <w:rPr>
                <w:szCs w:val="24"/>
                <w:lang w:eastAsia="lt-LT"/>
              </w:rPr>
              <w:t>„</w:t>
            </w:r>
            <w:r w:rsidR="0021406C">
              <w:rPr>
                <w:szCs w:val="24"/>
                <w:lang w:eastAsia="lt-LT"/>
              </w:rPr>
              <w:t>1</w:t>
            </w:r>
            <w:r w:rsidR="00532BF4" w:rsidRPr="00532BF4">
              <w:rPr>
                <w:szCs w:val="24"/>
                <w:lang w:eastAsia="lt-LT"/>
              </w:rPr>
              <w:t>.</w:t>
            </w:r>
          </w:p>
        </w:tc>
        <w:tc>
          <w:tcPr>
            <w:tcW w:w="2977" w:type="dxa"/>
            <w:vAlign w:val="center"/>
            <w:hideMark/>
          </w:tcPr>
          <w:p w14:paraId="0377AC66" w14:textId="115C8CD4" w:rsidR="00532BF4" w:rsidRPr="0021406C" w:rsidRDefault="0021406C" w:rsidP="00FA5EE3">
            <w:pPr>
              <w:jc w:val="center"/>
              <w:rPr>
                <w:szCs w:val="24"/>
                <w:lang w:eastAsia="lt-LT"/>
              </w:rPr>
            </w:pPr>
            <w:r w:rsidRPr="0021406C">
              <w:rPr>
                <w:szCs w:val="24"/>
              </w:rPr>
              <w:t>Aplinkai ir gamtos ištekliams atkurti ir gausinti </w:t>
            </w:r>
          </w:p>
        </w:tc>
        <w:tc>
          <w:tcPr>
            <w:tcW w:w="1843" w:type="dxa"/>
            <w:vAlign w:val="center"/>
            <w:hideMark/>
          </w:tcPr>
          <w:p w14:paraId="211D667A" w14:textId="4DA3E885" w:rsidR="00532BF4" w:rsidRPr="00532BF4" w:rsidRDefault="0021406C" w:rsidP="00012DE9">
            <w:pPr>
              <w:ind w:left="-406" w:firstLine="406"/>
              <w:jc w:val="center"/>
              <w:textAlignment w:val="baseline"/>
              <w:rPr>
                <w:strike/>
                <w:szCs w:val="24"/>
                <w:lang w:eastAsia="lt-LT"/>
              </w:rPr>
            </w:pPr>
            <w:r>
              <w:rPr>
                <w:szCs w:val="24"/>
              </w:rPr>
              <w:t>925 614</w:t>
            </w:r>
            <w:r w:rsidR="00FA5EE3">
              <w:rPr>
                <w:szCs w:val="24"/>
              </w:rPr>
              <w:t>“.</w:t>
            </w:r>
          </w:p>
        </w:tc>
        <w:tc>
          <w:tcPr>
            <w:tcW w:w="1701" w:type="dxa"/>
            <w:hideMark/>
          </w:tcPr>
          <w:p w14:paraId="7FF10A3E" w14:textId="77777777" w:rsidR="00532BF4" w:rsidRPr="00532BF4" w:rsidRDefault="00532BF4" w:rsidP="00012DE9">
            <w:pPr>
              <w:ind w:left="-406" w:firstLine="406"/>
              <w:jc w:val="right"/>
              <w:textAlignment w:val="baseline"/>
              <w:rPr>
                <w:szCs w:val="24"/>
                <w:lang w:eastAsia="lt-LT"/>
              </w:rPr>
            </w:pPr>
            <w:r w:rsidRPr="00532BF4">
              <w:rPr>
                <w:color w:val="D13438"/>
                <w:szCs w:val="24"/>
                <w:lang w:eastAsia="lt-LT"/>
              </w:rPr>
              <w:t> </w:t>
            </w:r>
          </w:p>
        </w:tc>
        <w:tc>
          <w:tcPr>
            <w:tcW w:w="2409" w:type="dxa"/>
          </w:tcPr>
          <w:p w14:paraId="5D22E801" w14:textId="77777777" w:rsidR="00532BF4" w:rsidRPr="00532BF4" w:rsidRDefault="00532BF4" w:rsidP="00012DE9">
            <w:pPr>
              <w:ind w:left="-406" w:firstLine="406"/>
              <w:textAlignment w:val="baseline"/>
              <w:rPr>
                <w:szCs w:val="24"/>
                <w:lang w:eastAsia="lt-LT"/>
              </w:rPr>
            </w:pPr>
            <w:r w:rsidRPr="00532BF4">
              <w:rPr>
                <w:color w:val="D13438"/>
                <w:szCs w:val="24"/>
                <w:lang w:eastAsia="lt-LT"/>
              </w:rPr>
              <w:t> </w:t>
            </w:r>
          </w:p>
        </w:tc>
      </w:tr>
    </w:tbl>
    <w:p w14:paraId="3B41362A" w14:textId="77777777" w:rsidR="00532BF4" w:rsidRDefault="00532BF4" w:rsidP="00532BF4">
      <w:pPr>
        <w:pStyle w:val="ListParagraph"/>
        <w:ind w:left="927"/>
      </w:pPr>
    </w:p>
    <w:p w14:paraId="5C77ADCD" w14:textId="490FB774" w:rsidR="00532BF4" w:rsidRPr="00532BF4" w:rsidRDefault="00532BF4" w:rsidP="00532BF4">
      <w:pPr>
        <w:pStyle w:val="ListParagraph"/>
        <w:numPr>
          <w:ilvl w:val="0"/>
          <w:numId w:val="2"/>
        </w:numPr>
      </w:pPr>
      <w:r w:rsidRPr="00532BF4">
        <w:t xml:space="preserve">Papildau </w:t>
      </w:r>
      <w:r w:rsidR="0021406C">
        <w:t>1</w:t>
      </w:r>
      <w:r w:rsidRPr="00532BF4">
        <w:t>.</w:t>
      </w:r>
      <w:r w:rsidR="0021406C">
        <w:t>7</w:t>
      </w:r>
      <w:r w:rsidRPr="00532BF4">
        <w:t xml:space="preserve"> papunkčiu ir jį išdėstau taip: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3AD27207" w14:textId="77777777" w:rsidTr="00012DE9">
        <w:trPr>
          <w:trHeight w:val="270"/>
        </w:trPr>
        <w:tc>
          <w:tcPr>
            <w:tcW w:w="709" w:type="dxa"/>
            <w:vAlign w:val="center"/>
            <w:hideMark/>
          </w:tcPr>
          <w:p w14:paraId="76536E75" w14:textId="04D4CABA" w:rsidR="00532BF4" w:rsidRPr="00532BF4" w:rsidRDefault="00FA5EE3" w:rsidP="00FA5EE3">
            <w:pPr>
              <w:jc w:val="center"/>
              <w:textAlignment w:val="baseline"/>
              <w:rPr>
                <w:szCs w:val="24"/>
                <w:lang w:eastAsia="lt-LT"/>
              </w:rPr>
            </w:pPr>
            <w:r>
              <w:rPr>
                <w:szCs w:val="24"/>
                <w:lang w:eastAsia="lt-LT"/>
              </w:rPr>
              <w:t>„</w:t>
            </w:r>
            <w:r w:rsidR="0021406C">
              <w:rPr>
                <w:szCs w:val="24"/>
                <w:lang w:eastAsia="lt-LT"/>
              </w:rPr>
              <w:t>1</w:t>
            </w:r>
            <w:r w:rsidR="00532BF4" w:rsidRPr="00532BF4">
              <w:rPr>
                <w:szCs w:val="24"/>
                <w:lang w:eastAsia="lt-LT"/>
              </w:rPr>
              <w:t>.</w:t>
            </w:r>
            <w:r w:rsidR="0021406C">
              <w:rPr>
                <w:szCs w:val="24"/>
                <w:lang w:eastAsia="lt-LT"/>
              </w:rPr>
              <w:t>7</w:t>
            </w:r>
            <w:r w:rsidR="00532BF4" w:rsidRPr="00532BF4">
              <w:rPr>
                <w:szCs w:val="24"/>
                <w:lang w:eastAsia="lt-LT"/>
              </w:rPr>
              <w:t>.</w:t>
            </w:r>
          </w:p>
        </w:tc>
        <w:tc>
          <w:tcPr>
            <w:tcW w:w="2977" w:type="dxa"/>
            <w:vAlign w:val="center"/>
            <w:hideMark/>
          </w:tcPr>
          <w:p w14:paraId="79C1684D" w14:textId="55CECAFC" w:rsidR="00532BF4" w:rsidRPr="00532BF4" w:rsidRDefault="0021406C" w:rsidP="0021406C">
            <w:pPr>
              <w:jc w:val="center"/>
              <w:rPr>
                <w:szCs w:val="24"/>
                <w:lang w:eastAsia="lt-LT"/>
              </w:rPr>
            </w:pPr>
            <w:r w:rsidRPr="0021406C">
              <w:rPr>
                <w:sz w:val="22"/>
                <w:szCs w:val="22"/>
              </w:rPr>
              <w:t>Kraujasiurbių upinių mašalų populiacijos pokyčių stebėjimo ir populiacijos reguliavimo priemonių įgyvendinimas</w:t>
            </w:r>
          </w:p>
        </w:tc>
        <w:tc>
          <w:tcPr>
            <w:tcW w:w="1843" w:type="dxa"/>
            <w:vAlign w:val="center"/>
            <w:hideMark/>
          </w:tcPr>
          <w:p w14:paraId="0BCB3E19" w14:textId="424533E0" w:rsidR="00532BF4" w:rsidRPr="00532BF4" w:rsidRDefault="0021406C" w:rsidP="005E382D">
            <w:pPr>
              <w:jc w:val="center"/>
              <w:rPr>
                <w:szCs w:val="24"/>
                <w:lang w:eastAsia="lt-LT"/>
              </w:rPr>
            </w:pPr>
            <w:r>
              <w:rPr>
                <w:color w:val="000000"/>
                <w:szCs w:val="24"/>
              </w:rPr>
              <w:t>7</w:t>
            </w:r>
            <w:r w:rsidR="00FA5EE3">
              <w:rPr>
                <w:color w:val="000000"/>
                <w:szCs w:val="24"/>
              </w:rPr>
              <w:t>0</w:t>
            </w:r>
            <w:r w:rsidR="00532BF4" w:rsidRPr="00532BF4">
              <w:rPr>
                <w:color w:val="000000"/>
                <w:szCs w:val="24"/>
              </w:rPr>
              <w:t xml:space="preserve"> 000</w:t>
            </w:r>
          </w:p>
        </w:tc>
        <w:tc>
          <w:tcPr>
            <w:tcW w:w="1701" w:type="dxa"/>
            <w:vAlign w:val="center"/>
            <w:hideMark/>
          </w:tcPr>
          <w:p w14:paraId="0F19FCC2" w14:textId="77777777" w:rsidR="00532BF4" w:rsidRPr="00532BF4" w:rsidRDefault="00532BF4" w:rsidP="005E382D">
            <w:pPr>
              <w:jc w:val="center"/>
              <w:rPr>
                <w:szCs w:val="24"/>
                <w:lang w:eastAsia="lt-LT"/>
              </w:rPr>
            </w:pPr>
          </w:p>
        </w:tc>
        <w:tc>
          <w:tcPr>
            <w:tcW w:w="2409" w:type="dxa"/>
            <w:vAlign w:val="center"/>
            <w:hideMark/>
          </w:tcPr>
          <w:p w14:paraId="73025060" w14:textId="7E73069D" w:rsidR="00532BF4" w:rsidRPr="00532BF4" w:rsidRDefault="0021406C" w:rsidP="005E382D">
            <w:pPr>
              <w:rPr>
                <w:szCs w:val="24"/>
                <w:lang w:eastAsia="lt-LT"/>
              </w:rPr>
            </w:pPr>
            <w:r>
              <w:rPr>
                <w:szCs w:val="24"/>
                <w:lang w:eastAsia="lt-LT"/>
              </w:rPr>
              <w:t>APVA</w:t>
            </w:r>
            <w:r w:rsidR="00FA5EE3">
              <w:rPr>
                <w:szCs w:val="24"/>
                <w:lang w:eastAsia="lt-LT"/>
              </w:rPr>
              <w:t>“.</w:t>
            </w:r>
          </w:p>
        </w:tc>
      </w:tr>
    </w:tbl>
    <w:p w14:paraId="3A474DC7" w14:textId="77777777" w:rsidR="00532BF4" w:rsidRDefault="00532BF4" w:rsidP="00532BF4">
      <w:pPr>
        <w:pStyle w:val="ListParagraph"/>
        <w:ind w:left="927"/>
      </w:pPr>
    </w:p>
    <w:p w14:paraId="369DDB4C" w14:textId="50F55254" w:rsidR="00D341C6" w:rsidRDefault="00D341C6" w:rsidP="00FA5EE3">
      <w:pPr>
        <w:pStyle w:val="ListParagraph"/>
        <w:numPr>
          <w:ilvl w:val="0"/>
          <w:numId w:val="2"/>
        </w:numPr>
      </w:pPr>
      <w:r>
        <w:t>Pakeičiu 6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D341C6" w:rsidRPr="00672D4E" w14:paraId="4E2BA6E1" w14:textId="77777777" w:rsidTr="00012DE9">
        <w:trPr>
          <w:trHeight w:val="270"/>
        </w:trPr>
        <w:tc>
          <w:tcPr>
            <w:tcW w:w="709" w:type="dxa"/>
            <w:vAlign w:val="center"/>
            <w:hideMark/>
          </w:tcPr>
          <w:p w14:paraId="60F2B8D1" w14:textId="41BC95F9" w:rsidR="00D341C6" w:rsidRPr="00672D4E" w:rsidRDefault="00DD0AE5" w:rsidP="009C0F7B">
            <w:pPr>
              <w:jc w:val="center"/>
              <w:textAlignment w:val="baseline"/>
              <w:rPr>
                <w:szCs w:val="24"/>
                <w:lang w:eastAsia="lt-LT"/>
              </w:rPr>
            </w:pPr>
            <w:r>
              <w:rPr>
                <w:szCs w:val="24"/>
                <w:lang w:eastAsia="lt-LT"/>
              </w:rPr>
              <w:t>„</w:t>
            </w:r>
            <w:r w:rsidR="00012DE9">
              <w:rPr>
                <w:szCs w:val="24"/>
                <w:lang w:eastAsia="lt-LT"/>
              </w:rPr>
              <w:t>6</w:t>
            </w:r>
            <w:r w:rsidR="00D341C6" w:rsidRPr="00672D4E">
              <w:rPr>
                <w:szCs w:val="24"/>
                <w:lang w:eastAsia="lt-LT"/>
              </w:rPr>
              <w:t>.</w:t>
            </w:r>
          </w:p>
        </w:tc>
        <w:tc>
          <w:tcPr>
            <w:tcW w:w="2977" w:type="dxa"/>
            <w:hideMark/>
          </w:tcPr>
          <w:p w14:paraId="1657BF1B" w14:textId="1A6B36BB" w:rsidR="00D341C6" w:rsidRPr="00D341C6" w:rsidRDefault="00D341C6" w:rsidP="00012DE9">
            <w:pPr>
              <w:jc w:val="center"/>
              <w:rPr>
                <w:szCs w:val="24"/>
              </w:rPr>
            </w:pPr>
            <w:r>
              <w:rPr>
                <w:szCs w:val="24"/>
              </w:rPr>
              <w:t>V</w:t>
            </w:r>
            <w:r w:rsidRPr="00D341C6">
              <w:rPr>
                <w:szCs w:val="24"/>
              </w:rPr>
              <w:t>alstybinėms aplinkos apsaugos įstaigoms ir organizacijoms aprūpinti prietaisais, įrenginiais, medžiagomis ir kitomis priemonėmis jų aplinkosaugos veiklai vykdyti</w:t>
            </w:r>
          </w:p>
          <w:p w14:paraId="22249AD1" w14:textId="77777777" w:rsidR="00D341C6" w:rsidRPr="00153129" w:rsidRDefault="00D341C6" w:rsidP="009C0F7B">
            <w:pPr>
              <w:textAlignment w:val="baseline"/>
              <w:rPr>
                <w:szCs w:val="24"/>
                <w:lang w:eastAsia="lt-LT"/>
              </w:rPr>
            </w:pPr>
          </w:p>
        </w:tc>
        <w:tc>
          <w:tcPr>
            <w:tcW w:w="1843" w:type="dxa"/>
            <w:vAlign w:val="center"/>
            <w:hideMark/>
          </w:tcPr>
          <w:p w14:paraId="7153FCB8" w14:textId="7A642D3E" w:rsidR="00D341C6" w:rsidRPr="00532BF4" w:rsidRDefault="00FA5EE3" w:rsidP="009C0F7B">
            <w:pPr>
              <w:ind w:firstLine="60"/>
              <w:jc w:val="center"/>
              <w:textAlignment w:val="baseline"/>
              <w:rPr>
                <w:strike/>
                <w:szCs w:val="24"/>
                <w:lang w:eastAsia="lt-LT"/>
              </w:rPr>
            </w:pPr>
            <w:r>
              <w:rPr>
                <w:szCs w:val="24"/>
              </w:rPr>
              <w:t>2</w:t>
            </w:r>
            <w:r w:rsidR="00EC3AEC">
              <w:rPr>
                <w:szCs w:val="24"/>
              </w:rPr>
              <w:t> </w:t>
            </w:r>
            <w:r w:rsidR="0021406C">
              <w:rPr>
                <w:szCs w:val="24"/>
              </w:rPr>
              <w:t>327</w:t>
            </w:r>
            <w:r w:rsidR="00DD0AE5">
              <w:rPr>
                <w:szCs w:val="24"/>
              </w:rPr>
              <w:t> </w:t>
            </w:r>
            <w:r w:rsidR="0021406C">
              <w:rPr>
                <w:szCs w:val="24"/>
              </w:rPr>
              <w:t>154</w:t>
            </w:r>
            <w:r w:rsidR="00DD0AE5">
              <w:rPr>
                <w:szCs w:val="24"/>
              </w:rPr>
              <w:t>“.</w:t>
            </w:r>
            <w:r w:rsidR="00D341C6" w:rsidRPr="00532BF4">
              <w:rPr>
                <w:strike/>
                <w:szCs w:val="24"/>
              </w:rPr>
              <w:t xml:space="preserve"> </w:t>
            </w:r>
          </w:p>
        </w:tc>
        <w:tc>
          <w:tcPr>
            <w:tcW w:w="1701" w:type="dxa"/>
            <w:hideMark/>
          </w:tcPr>
          <w:p w14:paraId="3E1312E8" w14:textId="77777777" w:rsidR="00D341C6" w:rsidRPr="00672D4E" w:rsidRDefault="00D341C6" w:rsidP="009C0F7B">
            <w:pPr>
              <w:ind w:firstLine="45"/>
              <w:jc w:val="right"/>
              <w:textAlignment w:val="baseline"/>
              <w:rPr>
                <w:szCs w:val="24"/>
                <w:lang w:eastAsia="lt-LT"/>
              </w:rPr>
            </w:pPr>
            <w:r w:rsidRPr="00672D4E">
              <w:rPr>
                <w:color w:val="D13438"/>
                <w:szCs w:val="24"/>
                <w:lang w:eastAsia="lt-LT"/>
              </w:rPr>
              <w:t> </w:t>
            </w:r>
          </w:p>
        </w:tc>
        <w:tc>
          <w:tcPr>
            <w:tcW w:w="2409" w:type="dxa"/>
          </w:tcPr>
          <w:p w14:paraId="7CC9360E" w14:textId="77777777" w:rsidR="00D341C6" w:rsidRPr="00672D4E" w:rsidRDefault="00D341C6" w:rsidP="009C0F7B">
            <w:pPr>
              <w:ind w:firstLine="60"/>
              <w:textAlignment w:val="baseline"/>
              <w:rPr>
                <w:szCs w:val="24"/>
                <w:lang w:eastAsia="lt-LT"/>
              </w:rPr>
            </w:pPr>
            <w:r w:rsidRPr="00672D4E">
              <w:rPr>
                <w:color w:val="D13438"/>
                <w:szCs w:val="24"/>
                <w:lang w:eastAsia="lt-LT"/>
              </w:rPr>
              <w:t> </w:t>
            </w:r>
          </w:p>
        </w:tc>
      </w:tr>
    </w:tbl>
    <w:p w14:paraId="0CCD80A1" w14:textId="77777777" w:rsidR="00D341C6" w:rsidRDefault="00D341C6" w:rsidP="00532BF4">
      <w:pPr>
        <w:ind w:left="567"/>
      </w:pPr>
    </w:p>
    <w:p w14:paraId="06797941" w14:textId="5CA0CDA7" w:rsidR="00532BF4" w:rsidRDefault="00146B4A" w:rsidP="00532BF4">
      <w:pPr>
        <w:ind w:left="567"/>
      </w:pPr>
      <w:r>
        <w:t>4</w:t>
      </w:r>
      <w:r w:rsidR="00532BF4">
        <w:t>.</w:t>
      </w:r>
      <w:r w:rsidR="00012DE9">
        <w:t xml:space="preserve"> </w:t>
      </w:r>
      <w:r w:rsidR="00532BF4">
        <w:t xml:space="preserve">Papildau </w:t>
      </w:r>
      <w:r w:rsidR="008C5F66">
        <w:t>6</w:t>
      </w:r>
      <w:r w:rsidR="00532BF4">
        <w:t>.</w:t>
      </w:r>
      <w:r w:rsidR="008C5F66">
        <w:t>1</w:t>
      </w:r>
      <w:r>
        <w:t>8</w:t>
      </w:r>
      <w:r w:rsid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DC7837" w14:paraId="37FD8C01" w14:textId="77777777" w:rsidTr="00012DE9">
        <w:trPr>
          <w:trHeight w:val="270"/>
        </w:trPr>
        <w:tc>
          <w:tcPr>
            <w:tcW w:w="709" w:type="dxa"/>
            <w:vAlign w:val="center"/>
            <w:hideMark/>
          </w:tcPr>
          <w:p w14:paraId="7D2D7419" w14:textId="1E3EA41E" w:rsidR="00532BF4" w:rsidRPr="00FA5EE3" w:rsidRDefault="00FA5EE3" w:rsidP="005E382D">
            <w:pPr>
              <w:jc w:val="center"/>
              <w:textAlignment w:val="baseline"/>
              <w:rPr>
                <w:szCs w:val="24"/>
                <w:lang w:eastAsia="lt-LT"/>
              </w:rPr>
            </w:pPr>
            <w:r w:rsidRPr="00FA5EE3">
              <w:rPr>
                <w:szCs w:val="24"/>
                <w:lang w:eastAsia="lt-LT"/>
              </w:rPr>
              <w:t>„</w:t>
            </w:r>
            <w:r w:rsidR="008C5F66" w:rsidRPr="00FA5EE3">
              <w:rPr>
                <w:szCs w:val="24"/>
                <w:lang w:eastAsia="lt-LT"/>
              </w:rPr>
              <w:t>6</w:t>
            </w:r>
            <w:r w:rsidR="00532BF4" w:rsidRPr="00FA5EE3">
              <w:rPr>
                <w:szCs w:val="24"/>
                <w:lang w:eastAsia="lt-LT"/>
              </w:rPr>
              <w:t>.</w:t>
            </w:r>
            <w:r w:rsidR="008C5F66" w:rsidRPr="00FA5EE3">
              <w:rPr>
                <w:szCs w:val="24"/>
                <w:lang w:eastAsia="lt-LT"/>
              </w:rPr>
              <w:t>1</w:t>
            </w:r>
            <w:r w:rsidR="00146B4A">
              <w:rPr>
                <w:szCs w:val="24"/>
                <w:lang w:eastAsia="lt-LT"/>
              </w:rPr>
              <w:t>8</w:t>
            </w:r>
            <w:r w:rsidR="00532BF4" w:rsidRPr="00FA5EE3">
              <w:rPr>
                <w:szCs w:val="24"/>
                <w:lang w:eastAsia="lt-LT"/>
              </w:rPr>
              <w:t>.</w:t>
            </w:r>
          </w:p>
        </w:tc>
        <w:tc>
          <w:tcPr>
            <w:tcW w:w="2977" w:type="dxa"/>
            <w:hideMark/>
          </w:tcPr>
          <w:p w14:paraId="16F8E74A" w14:textId="36B524A7" w:rsidR="00146B4A" w:rsidRPr="00146B4A" w:rsidRDefault="00146B4A" w:rsidP="00146B4A">
            <w:pPr>
              <w:jc w:val="center"/>
              <w:rPr>
                <w:szCs w:val="24"/>
              </w:rPr>
            </w:pPr>
            <w:r w:rsidRPr="00146B4A">
              <w:rPr>
                <w:szCs w:val="24"/>
              </w:rPr>
              <w:t xml:space="preserve">Pakrančių apsaugos juostų ir zonų žemėlapio </w:t>
            </w:r>
            <w:r w:rsidR="00432C8A">
              <w:rPr>
                <w:szCs w:val="24"/>
              </w:rPr>
              <w:t>koregavimas</w:t>
            </w:r>
            <w:r w:rsidRPr="00146B4A">
              <w:rPr>
                <w:szCs w:val="24"/>
              </w:rPr>
              <w:t xml:space="preserve">, </w:t>
            </w:r>
            <w:r w:rsidRPr="00146B4A">
              <w:rPr>
                <w:szCs w:val="24"/>
              </w:rPr>
              <w:lastRenderedPageBreak/>
              <w:t xml:space="preserve">palaikymas ir GIS specialistų konsultavimas  </w:t>
            </w:r>
          </w:p>
          <w:p w14:paraId="53CBD9D8" w14:textId="7513DFFE" w:rsidR="00532BF4" w:rsidRPr="00FA5EE3" w:rsidRDefault="00532BF4" w:rsidP="006074FF">
            <w:pPr>
              <w:jc w:val="center"/>
              <w:rPr>
                <w:szCs w:val="24"/>
                <w:lang w:eastAsia="lt-LT"/>
              </w:rPr>
            </w:pPr>
          </w:p>
        </w:tc>
        <w:tc>
          <w:tcPr>
            <w:tcW w:w="1843" w:type="dxa"/>
            <w:vAlign w:val="center"/>
            <w:hideMark/>
          </w:tcPr>
          <w:p w14:paraId="4E710990" w14:textId="2E3869B2" w:rsidR="00532BF4" w:rsidRPr="00FA5EE3" w:rsidRDefault="00146B4A" w:rsidP="005E382D">
            <w:pPr>
              <w:jc w:val="center"/>
              <w:rPr>
                <w:szCs w:val="24"/>
                <w:lang w:eastAsia="lt-LT"/>
              </w:rPr>
            </w:pPr>
            <w:r>
              <w:rPr>
                <w:szCs w:val="24"/>
                <w:lang w:eastAsia="lt-LT"/>
              </w:rPr>
              <w:lastRenderedPageBreak/>
              <w:t>30 000</w:t>
            </w:r>
          </w:p>
        </w:tc>
        <w:tc>
          <w:tcPr>
            <w:tcW w:w="1701" w:type="dxa"/>
            <w:vAlign w:val="center"/>
            <w:hideMark/>
          </w:tcPr>
          <w:p w14:paraId="6188A7D6" w14:textId="0F88C5C6" w:rsidR="00532BF4" w:rsidRPr="00FA5EE3" w:rsidRDefault="00146B4A" w:rsidP="005E382D">
            <w:pPr>
              <w:jc w:val="center"/>
              <w:rPr>
                <w:szCs w:val="24"/>
                <w:lang w:eastAsia="lt-LT"/>
              </w:rPr>
            </w:pPr>
            <w:r>
              <w:rPr>
                <w:szCs w:val="24"/>
                <w:lang w:eastAsia="lt-LT"/>
              </w:rPr>
              <w:t>20 000</w:t>
            </w:r>
          </w:p>
        </w:tc>
        <w:tc>
          <w:tcPr>
            <w:tcW w:w="2409" w:type="dxa"/>
            <w:vAlign w:val="center"/>
            <w:hideMark/>
          </w:tcPr>
          <w:p w14:paraId="529BA45E" w14:textId="6915D842" w:rsidR="00532BF4" w:rsidRPr="00FA5EE3" w:rsidRDefault="00146B4A" w:rsidP="00FA5EE3">
            <w:pPr>
              <w:rPr>
                <w:szCs w:val="24"/>
                <w:lang w:eastAsia="lt-LT"/>
              </w:rPr>
            </w:pPr>
            <w:r>
              <w:t>Aplinkos apsaugos agentūra</w:t>
            </w:r>
            <w:r w:rsidR="00FA5EE3" w:rsidRPr="00FA5EE3">
              <w:t>“.</w:t>
            </w:r>
          </w:p>
        </w:tc>
      </w:tr>
    </w:tbl>
    <w:p w14:paraId="7CFAB848" w14:textId="77777777" w:rsidR="00126B14" w:rsidRDefault="00126B14" w:rsidP="00532BF4">
      <w:pPr>
        <w:ind w:left="567"/>
      </w:pPr>
    </w:p>
    <w:p w14:paraId="0AA8DAD7" w14:textId="77777777" w:rsidR="00532BF4" w:rsidRDefault="00532BF4" w:rsidP="00532BF4">
      <w:pPr>
        <w:ind w:left="567"/>
      </w:pPr>
    </w:p>
    <w:p w14:paraId="1C7E4650" w14:textId="3E5D6766" w:rsidR="00532BF4" w:rsidRDefault="00146B4A" w:rsidP="00532BF4">
      <w:pPr>
        <w:ind w:left="567"/>
      </w:pPr>
      <w:r>
        <w:t>5</w:t>
      </w:r>
      <w:r w:rsidR="00532BF4">
        <w:t>.</w:t>
      </w:r>
      <w:r w:rsidR="00012DE9">
        <w:t xml:space="preserve"> </w:t>
      </w:r>
      <w:r w:rsidR="00532BF4">
        <w:t xml:space="preserve">Papildau </w:t>
      </w:r>
      <w:r>
        <w:t>6</w:t>
      </w:r>
      <w:r w:rsidR="00532BF4">
        <w:t>.</w:t>
      </w:r>
      <w:r w:rsidR="00FA5EE3">
        <w:t>1</w:t>
      </w:r>
      <w:r>
        <w:t>9</w:t>
      </w:r>
      <w:r w:rsidR="009D3842">
        <w:t xml:space="preserve"> </w:t>
      </w:r>
      <w:r w:rsidR="00532BF4">
        <w:t>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235B9526" w14:textId="77777777" w:rsidTr="00891B99">
        <w:trPr>
          <w:trHeight w:val="270"/>
        </w:trPr>
        <w:tc>
          <w:tcPr>
            <w:tcW w:w="709" w:type="dxa"/>
            <w:vAlign w:val="center"/>
            <w:hideMark/>
          </w:tcPr>
          <w:p w14:paraId="335C2D73" w14:textId="4E4F8B10" w:rsidR="00532BF4" w:rsidRPr="00126B14" w:rsidRDefault="00891B99" w:rsidP="005E382D">
            <w:pPr>
              <w:jc w:val="center"/>
              <w:textAlignment w:val="baseline"/>
              <w:rPr>
                <w:szCs w:val="24"/>
                <w:lang w:eastAsia="lt-LT"/>
              </w:rPr>
            </w:pPr>
            <w:r>
              <w:rPr>
                <w:szCs w:val="24"/>
                <w:lang w:eastAsia="lt-LT"/>
              </w:rPr>
              <w:t>„</w:t>
            </w:r>
            <w:r w:rsidR="00146B4A">
              <w:rPr>
                <w:szCs w:val="24"/>
                <w:lang w:eastAsia="lt-LT"/>
              </w:rPr>
              <w:t>6</w:t>
            </w:r>
            <w:r w:rsidR="00532BF4" w:rsidRPr="00126B14">
              <w:rPr>
                <w:szCs w:val="24"/>
                <w:lang w:eastAsia="lt-LT"/>
              </w:rPr>
              <w:t>.</w:t>
            </w:r>
            <w:r>
              <w:rPr>
                <w:szCs w:val="24"/>
                <w:lang w:eastAsia="lt-LT"/>
              </w:rPr>
              <w:t>1</w:t>
            </w:r>
            <w:r w:rsidR="00146B4A">
              <w:rPr>
                <w:szCs w:val="24"/>
                <w:lang w:eastAsia="lt-LT"/>
              </w:rPr>
              <w:t>9</w:t>
            </w:r>
            <w:r w:rsidR="00532BF4" w:rsidRPr="00126B14">
              <w:rPr>
                <w:szCs w:val="24"/>
                <w:lang w:eastAsia="lt-LT"/>
              </w:rPr>
              <w:t>.</w:t>
            </w:r>
          </w:p>
        </w:tc>
        <w:tc>
          <w:tcPr>
            <w:tcW w:w="2977" w:type="dxa"/>
            <w:hideMark/>
          </w:tcPr>
          <w:p w14:paraId="72486C11" w14:textId="11624F90" w:rsidR="00532BF4" w:rsidRPr="00146B4A" w:rsidRDefault="00146B4A" w:rsidP="00DD0AE5">
            <w:pPr>
              <w:rPr>
                <w:szCs w:val="24"/>
                <w:lang w:eastAsia="lt-LT"/>
              </w:rPr>
            </w:pPr>
            <w:r w:rsidRPr="00146B4A">
              <w:rPr>
                <w:szCs w:val="24"/>
              </w:rPr>
              <w:t xml:space="preserve">Laboratorijos aprūpinimas prietaisais, medžiagomis ir kitomis materialinėmis priemonėmis </w:t>
            </w:r>
            <w:r w:rsidR="00DD0AE5" w:rsidRPr="00146B4A">
              <w:rPr>
                <w:szCs w:val="24"/>
              </w:rPr>
              <w:t>valstybini</w:t>
            </w:r>
            <w:r w:rsidR="00DD0AE5">
              <w:rPr>
                <w:szCs w:val="24"/>
              </w:rPr>
              <w:t>ams</w:t>
            </w:r>
            <w:r w:rsidR="00DD0AE5" w:rsidRPr="00146B4A">
              <w:rPr>
                <w:szCs w:val="24"/>
              </w:rPr>
              <w:t xml:space="preserve"> laboratorini</w:t>
            </w:r>
            <w:r w:rsidR="00DD0AE5">
              <w:rPr>
                <w:szCs w:val="24"/>
              </w:rPr>
              <w:t>ams</w:t>
            </w:r>
            <w:r w:rsidR="00DD0AE5" w:rsidRPr="00146B4A">
              <w:rPr>
                <w:szCs w:val="24"/>
              </w:rPr>
              <w:t xml:space="preserve"> tyrim</w:t>
            </w:r>
            <w:r w:rsidR="00DD0AE5">
              <w:rPr>
                <w:szCs w:val="24"/>
              </w:rPr>
              <w:t>ams</w:t>
            </w:r>
            <w:r w:rsidR="00DD0AE5" w:rsidRPr="00146B4A">
              <w:rPr>
                <w:szCs w:val="24"/>
              </w:rPr>
              <w:t xml:space="preserve"> </w:t>
            </w:r>
            <w:r w:rsidRPr="00146B4A">
              <w:rPr>
                <w:szCs w:val="24"/>
              </w:rPr>
              <w:t>, matavimo įrangos ir prietaisų metrologinei patikrai ir kalibravimui</w:t>
            </w:r>
          </w:p>
        </w:tc>
        <w:tc>
          <w:tcPr>
            <w:tcW w:w="1843" w:type="dxa"/>
            <w:vAlign w:val="center"/>
            <w:hideMark/>
          </w:tcPr>
          <w:p w14:paraId="5F66B977" w14:textId="37090A13" w:rsidR="00532BF4" w:rsidRPr="007C492C" w:rsidRDefault="00146B4A" w:rsidP="005E382D">
            <w:pPr>
              <w:jc w:val="center"/>
              <w:rPr>
                <w:szCs w:val="24"/>
                <w:lang w:eastAsia="lt-LT"/>
              </w:rPr>
            </w:pPr>
            <w:r>
              <w:rPr>
                <w:color w:val="000000"/>
                <w:szCs w:val="24"/>
              </w:rPr>
              <w:t>50 000</w:t>
            </w:r>
          </w:p>
        </w:tc>
        <w:tc>
          <w:tcPr>
            <w:tcW w:w="1701" w:type="dxa"/>
            <w:vAlign w:val="center"/>
            <w:hideMark/>
          </w:tcPr>
          <w:p w14:paraId="02E5FCA6" w14:textId="77777777" w:rsidR="00532BF4" w:rsidRPr="007C492C" w:rsidRDefault="00532BF4" w:rsidP="005E382D">
            <w:pPr>
              <w:jc w:val="center"/>
              <w:rPr>
                <w:szCs w:val="24"/>
                <w:lang w:eastAsia="lt-LT"/>
              </w:rPr>
            </w:pPr>
          </w:p>
        </w:tc>
        <w:tc>
          <w:tcPr>
            <w:tcW w:w="2409" w:type="dxa"/>
            <w:vAlign w:val="center"/>
            <w:hideMark/>
          </w:tcPr>
          <w:p w14:paraId="4C1A2DCB" w14:textId="1D92099A" w:rsidR="00532BF4" w:rsidRPr="007C492C" w:rsidRDefault="00146B4A" w:rsidP="005E382D">
            <w:pPr>
              <w:rPr>
                <w:szCs w:val="24"/>
                <w:lang w:eastAsia="lt-LT"/>
              </w:rPr>
            </w:pPr>
            <w:r>
              <w:t>Aplinkos apsaugos agentūra</w:t>
            </w:r>
            <w:r w:rsidR="00891B99">
              <w:rPr>
                <w:szCs w:val="24"/>
                <w:lang w:eastAsia="lt-LT"/>
              </w:rPr>
              <w:t>“.</w:t>
            </w:r>
          </w:p>
        </w:tc>
      </w:tr>
    </w:tbl>
    <w:p w14:paraId="540C6117" w14:textId="77777777" w:rsidR="00532BF4" w:rsidRPr="007C492C" w:rsidRDefault="00532BF4" w:rsidP="00532BF4">
      <w:pPr>
        <w:ind w:left="567"/>
        <w:rPr>
          <w:szCs w:val="24"/>
        </w:rPr>
      </w:pPr>
    </w:p>
    <w:p w14:paraId="7BCAE3D4" w14:textId="77777777" w:rsidR="00865387" w:rsidRDefault="00865387" w:rsidP="00532BF4">
      <w:pPr>
        <w:ind w:left="567"/>
      </w:pPr>
    </w:p>
    <w:p w14:paraId="7BC95134" w14:textId="2E56A3FF" w:rsidR="00532BF4" w:rsidRDefault="00891B99" w:rsidP="00532BF4">
      <w:pPr>
        <w:ind w:left="567"/>
      </w:pPr>
      <w:r>
        <w:t>12</w:t>
      </w:r>
      <w:r w:rsidR="00532BF4">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672D4E" w14:paraId="5058D10B" w14:textId="77777777" w:rsidTr="007B448E">
        <w:trPr>
          <w:trHeight w:val="270"/>
        </w:trPr>
        <w:tc>
          <w:tcPr>
            <w:tcW w:w="1115" w:type="dxa"/>
            <w:vAlign w:val="center"/>
            <w:hideMark/>
          </w:tcPr>
          <w:p w14:paraId="753D292E" w14:textId="1D19DE79" w:rsidR="00532BF4" w:rsidRPr="00672D4E" w:rsidRDefault="00865387" w:rsidP="005E382D">
            <w:pPr>
              <w:jc w:val="center"/>
              <w:textAlignment w:val="baseline"/>
              <w:rPr>
                <w:szCs w:val="24"/>
                <w:lang w:eastAsia="lt-LT"/>
              </w:rPr>
            </w:pPr>
            <w:r>
              <w:rPr>
                <w:szCs w:val="24"/>
                <w:lang w:eastAsia="lt-LT"/>
              </w:rPr>
              <w:t>„</w:t>
            </w:r>
            <w:r w:rsidR="00532BF4" w:rsidRPr="00672D4E">
              <w:rPr>
                <w:szCs w:val="24"/>
                <w:lang w:eastAsia="lt-LT"/>
              </w:rPr>
              <w:t>11.</w:t>
            </w:r>
          </w:p>
        </w:tc>
        <w:tc>
          <w:tcPr>
            <w:tcW w:w="2571" w:type="dxa"/>
            <w:vAlign w:val="center"/>
            <w:hideMark/>
          </w:tcPr>
          <w:p w14:paraId="4661BC20" w14:textId="77777777" w:rsidR="00532BF4" w:rsidRPr="00672D4E" w:rsidRDefault="00532BF4" w:rsidP="005E382D">
            <w:pPr>
              <w:textAlignment w:val="baseline"/>
              <w:rPr>
                <w:szCs w:val="24"/>
                <w:lang w:eastAsia="lt-LT"/>
              </w:rPr>
            </w:pPr>
            <w:r w:rsidRPr="00672D4E">
              <w:rPr>
                <w:szCs w:val="24"/>
                <w:lang w:eastAsia="lt-LT"/>
              </w:rPr>
              <w:t>Iš viso paskirstyta lėšų</w:t>
            </w:r>
          </w:p>
        </w:tc>
        <w:tc>
          <w:tcPr>
            <w:tcW w:w="1843" w:type="dxa"/>
            <w:vAlign w:val="center"/>
            <w:hideMark/>
          </w:tcPr>
          <w:p w14:paraId="2E7AFF8D" w14:textId="66259298" w:rsidR="00532BF4" w:rsidRPr="00532BF4" w:rsidRDefault="00EC3AEC" w:rsidP="005E382D">
            <w:pPr>
              <w:jc w:val="center"/>
              <w:rPr>
                <w:strike/>
                <w:szCs w:val="24"/>
                <w:lang w:eastAsia="lt-LT"/>
              </w:rPr>
            </w:pPr>
            <w:r>
              <w:rPr>
                <w:szCs w:val="24"/>
                <w:lang w:eastAsia="lt-LT"/>
              </w:rPr>
              <w:t>6 291 072</w:t>
            </w:r>
          </w:p>
        </w:tc>
        <w:tc>
          <w:tcPr>
            <w:tcW w:w="1701" w:type="dxa"/>
            <w:hideMark/>
          </w:tcPr>
          <w:p w14:paraId="3FAA9B97" w14:textId="2F2A35E5" w:rsidR="00532BF4" w:rsidRPr="00865387" w:rsidRDefault="00865387" w:rsidP="005E382D">
            <w:pPr>
              <w:jc w:val="center"/>
              <w:rPr>
                <w:szCs w:val="24"/>
                <w:lang w:val="en-US" w:eastAsia="lt-LT"/>
              </w:rPr>
            </w:pPr>
            <w:r w:rsidRPr="00865387">
              <w:rPr>
                <w:szCs w:val="24"/>
                <w:lang w:eastAsia="lt-LT"/>
              </w:rPr>
              <w:t>1</w:t>
            </w:r>
            <w:r w:rsidR="00EC3AEC">
              <w:rPr>
                <w:szCs w:val="24"/>
                <w:lang w:eastAsia="lt-LT"/>
              </w:rPr>
              <w:t>7</w:t>
            </w:r>
            <w:r w:rsidRPr="00865387">
              <w:rPr>
                <w:szCs w:val="24"/>
                <w:lang w:eastAsia="lt-LT"/>
              </w:rPr>
              <w:t>7</w:t>
            </w:r>
            <w:r>
              <w:rPr>
                <w:szCs w:val="24"/>
                <w:lang w:eastAsia="lt-LT"/>
              </w:rPr>
              <w:t> </w:t>
            </w:r>
            <w:r w:rsidRPr="00865387">
              <w:rPr>
                <w:szCs w:val="24"/>
                <w:lang w:eastAsia="lt-LT"/>
              </w:rPr>
              <w:t>100</w:t>
            </w:r>
            <w:r>
              <w:rPr>
                <w:szCs w:val="24"/>
                <w:lang w:eastAsia="lt-LT"/>
              </w:rPr>
              <w:t>“.</w:t>
            </w:r>
          </w:p>
        </w:tc>
        <w:tc>
          <w:tcPr>
            <w:tcW w:w="2409" w:type="dxa"/>
            <w:vAlign w:val="center"/>
            <w:hideMark/>
          </w:tcPr>
          <w:p w14:paraId="0F1FC1C1" w14:textId="77777777" w:rsidR="00532BF4" w:rsidRPr="00672D4E" w:rsidRDefault="00532BF4" w:rsidP="005E382D">
            <w:pPr>
              <w:rPr>
                <w:szCs w:val="24"/>
                <w:lang w:eastAsia="lt-LT"/>
              </w:rPr>
            </w:pPr>
          </w:p>
        </w:tc>
      </w:tr>
    </w:tbl>
    <w:p w14:paraId="1C592096" w14:textId="77777777" w:rsidR="00532BF4" w:rsidRDefault="00532BF4" w:rsidP="00532BF4">
      <w:pPr>
        <w:ind w:left="567"/>
      </w:pPr>
    </w:p>
    <w:p w14:paraId="7A587B38" w14:textId="2F14470F" w:rsidR="00532BF4" w:rsidRDefault="00891B99" w:rsidP="00532BF4">
      <w:pPr>
        <w:ind w:left="567"/>
      </w:pPr>
      <w:r>
        <w:t>13</w:t>
      </w:r>
      <w:r w:rsidR="00532BF4">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672D4E" w14:paraId="66E35589" w14:textId="77777777" w:rsidTr="007B448E">
        <w:trPr>
          <w:trHeight w:val="270"/>
        </w:trPr>
        <w:tc>
          <w:tcPr>
            <w:tcW w:w="1115" w:type="dxa"/>
            <w:vAlign w:val="center"/>
            <w:hideMark/>
          </w:tcPr>
          <w:p w14:paraId="2F7C0696" w14:textId="5CED0462" w:rsidR="00532BF4" w:rsidRPr="00672D4E" w:rsidRDefault="00865387" w:rsidP="005E382D">
            <w:pPr>
              <w:jc w:val="center"/>
              <w:textAlignment w:val="baseline"/>
              <w:rPr>
                <w:szCs w:val="24"/>
                <w:lang w:eastAsia="lt-LT"/>
              </w:rPr>
            </w:pPr>
            <w:r>
              <w:rPr>
                <w:szCs w:val="24"/>
                <w:lang w:eastAsia="lt-LT"/>
              </w:rPr>
              <w:t>„</w:t>
            </w:r>
            <w:r w:rsidR="00532BF4" w:rsidRPr="00672D4E">
              <w:rPr>
                <w:szCs w:val="24"/>
                <w:lang w:eastAsia="lt-LT"/>
              </w:rPr>
              <w:t>1</w:t>
            </w:r>
            <w:r>
              <w:rPr>
                <w:szCs w:val="24"/>
                <w:lang w:eastAsia="lt-LT"/>
              </w:rPr>
              <w:t>2</w:t>
            </w:r>
            <w:r w:rsidR="00532BF4" w:rsidRPr="00672D4E">
              <w:rPr>
                <w:szCs w:val="24"/>
                <w:lang w:eastAsia="lt-LT"/>
              </w:rPr>
              <w:t>.</w:t>
            </w:r>
          </w:p>
        </w:tc>
        <w:tc>
          <w:tcPr>
            <w:tcW w:w="2571" w:type="dxa"/>
            <w:vAlign w:val="center"/>
            <w:hideMark/>
          </w:tcPr>
          <w:p w14:paraId="44156A0E" w14:textId="77777777" w:rsidR="00532BF4" w:rsidRPr="00672D4E" w:rsidRDefault="00532BF4" w:rsidP="005E382D">
            <w:pPr>
              <w:textAlignment w:val="baseline"/>
              <w:rPr>
                <w:szCs w:val="24"/>
                <w:lang w:eastAsia="lt-LT"/>
              </w:rPr>
            </w:pPr>
            <w:r w:rsidRPr="00672D4E">
              <w:rPr>
                <w:szCs w:val="24"/>
                <w:lang w:eastAsia="lt-LT"/>
              </w:rPr>
              <w:t>Nepaskirstytos lėšos</w:t>
            </w:r>
          </w:p>
        </w:tc>
        <w:tc>
          <w:tcPr>
            <w:tcW w:w="1843" w:type="dxa"/>
            <w:vAlign w:val="center"/>
            <w:hideMark/>
          </w:tcPr>
          <w:p w14:paraId="04927275" w14:textId="5533CC6F" w:rsidR="00532BF4" w:rsidRPr="00532BF4" w:rsidRDefault="00EC3AEC" w:rsidP="005E382D">
            <w:pPr>
              <w:jc w:val="center"/>
              <w:rPr>
                <w:strike/>
                <w:szCs w:val="24"/>
                <w:lang w:eastAsia="lt-LT"/>
              </w:rPr>
            </w:pPr>
            <w:r>
              <w:rPr>
                <w:szCs w:val="24"/>
              </w:rPr>
              <w:t>606 961</w:t>
            </w:r>
            <w:r w:rsidR="00865387">
              <w:rPr>
                <w:szCs w:val="24"/>
                <w:lang w:eastAsia="lt-LT"/>
              </w:rPr>
              <w:t>“.</w:t>
            </w:r>
          </w:p>
        </w:tc>
        <w:tc>
          <w:tcPr>
            <w:tcW w:w="1701" w:type="dxa"/>
            <w:hideMark/>
          </w:tcPr>
          <w:p w14:paraId="013D9E0B" w14:textId="77777777" w:rsidR="00532BF4" w:rsidRPr="00672D4E" w:rsidRDefault="00532BF4" w:rsidP="005E382D">
            <w:pPr>
              <w:jc w:val="center"/>
              <w:rPr>
                <w:b/>
                <w:bCs/>
                <w:szCs w:val="24"/>
                <w:lang w:eastAsia="lt-LT"/>
              </w:rPr>
            </w:pPr>
          </w:p>
        </w:tc>
        <w:tc>
          <w:tcPr>
            <w:tcW w:w="2409" w:type="dxa"/>
            <w:vAlign w:val="center"/>
            <w:hideMark/>
          </w:tcPr>
          <w:p w14:paraId="33E4AD91" w14:textId="77777777" w:rsidR="00532BF4" w:rsidRPr="00672D4E" w:rsidRDefault="00532BF4" w:rsidP="005E382D">
            <w:pPr>
              <w:rPr>
                <w:szCs w:val="24"/>
                <w:lang w:eastAsia="lt-LT"/>
              </w:rPr>
            </w:pPr>
          </w:p>
        </w:tc>
      </w:tr>
    </w:tbl>
    <w:p w14:paraId="3A556783" w14:textId="77777777" w:rsidR="00532BF4" w:rsidRDefault="00532BF4" w:rsidP="00532BF4">
      <w:pPr>
        <w:ind w:left="567"/>
      </w:pPr>
    </w:p>
    <w:p w14:paraId="43B4A635" w14:textId="77777777" w:rsidR="004B10C1" w:rsidRPr="00D45510" w:rsidRDefault="004B10C1" w:rsidP="004B10C1">
      <w:pPr>
        <w:ind w:firstLine="567"/>
      </w:pPr>
    </w:p>
    <w:tbl>
      <w:tblPr>
        <w:tblW w:w="10207" w:type="dxa"/>
        <w:tblInd w:w="-709" w:type="dxa"/>
        <w:tblLayout w:type="fixed"/>
        <w:tblCellMar>
          <w:left w:w="0" w:type="dxa"/>
          <w:right w:w="0" w:type="dxa"/>
        </w:tblCellMar>
        <w:tblLook w:val="0000" w:firstRow="0" w:lastRow="0" w:firstColumn="0" w:lastColumn="0" w:noHBand="0" w:noVBand="0"/>
      </w:tblPr>
      <w:tblGrid>
        <w:gridCol w:w="5387"/>
        <w:gridCol w:w="4820"/>
      </w:tblGrid>
      <w:tr w:rsidR="004B10C1" w:rsidRPr="00D45510" w14:paraId="1116217B" w14:textId="77777777" w:rsidTr="00DB1172">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820" w:type="dxa"/>
            <w:vAlign w:val="bottom"/>
          </w:tcPr>
          <w:p w14:paraId="67A070D9" w14:textId="77777777" w:rsidR="004B10C1" w:rsidRPr="00D45510" w:rsidRDefault="004B10C1" w:rsidP="000E41F6">
            <w:pPr>
              <w:snapToGrid w:val="0"/>
              <w:ind w:right="139"/>
              <w:jc w:val="right"/>
            </w:pPr>
            <w:r>
              <w:t xml:space="preserve">              Sigita Vasiljevaitė</w:t>
            </w:r>
          </w:p>
        </w:tc>
      </w:tr>
    </w:tbl>
    <w:p w14:paraId="190F2DB3" w14:textId="77777777" w:rsidR="004B10C1" w:rsidRPr="00D45510" w:rsidRDefault="004B10C1" w:rsidP="004B10C1"/>
    <w:bookmarkEnd w:id="1"/>
    <w:p w14:paraId="629464D1" w14:textId="77777777" w:rsidR="00AC264D" w:rsidRDefault="00AC264D" w:rsidP="00AC264D">
      <w:pPr>
        <w:tabs>
          <w:tab w:val="left" w:pos="567"/>
        </w:tabs>
        <w:jc w:val="both"/>
      </w:pPr>
      <w:r>
        <w:tab/>
      </w:r>
      <w:r>
        <w:tab/>
      </w:r>
      <w:r>
        <w:tab/>
      </w:r>
      <w:r>
        <w:tab/>
        <w:t xml:space="preserve">                                    </w:t>
      </w:r>
    </w:p>
    <w:p w14:paraId="19614EB4" w14:textId="77777777" w:rsidR="00532BF4" w:rsidRPr="00532BF4" w:rsidRDefault="00532BF4" w:rsidP="00532BF4"/>
    <w:p w14:paraId="561B2247" w14:textId="77777777" w:rsidR="00532BF4" w:rsidRPr="00532BF4" w:rsidRDefault="00532BF4" w:rsidP="00532BF4"/>
    <w:p w14:paraId="74ED421E" w14:textId="77777777" w:rsidR="00532BF4" w:rsidRPr="00532BF4" w:rsidRDefault="00532BF4" w:rsidP="00532BF4"/>
    <w:p w14:paraId="3F03AF4C" w14:textId="77777777" w:rsidR="00532BF4" w:rsidRPr="00532BF4" w:rsidRDefault="00532BF4" w:rsidP="00532BF4"/>
    <w:p w14:paraId="4D9ECE22" w14:textId="77777777" w:rsidR="00532BF4" w:rsidRPr="00532BF4" w:rsidRDefault="00532BF4" w:rsidP="00532BF4"/>
    <w:p w14:paraId="7B67BBB0" w14:textId="77777777" w:rsidR="00532BF4" w:rsidRDefault="00532BF4" w:rsidP="00532BF4"/>
    <w:p w14:paraId="4C1BACB0" w14:textId="77777777" w:rsidR="00532BF4" w:rsidRPr="00532BF4" w:rsidRDefault="00532BF4" w:rsidP="00532BF4"/>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DD0AE5">
          <w:rPr>
            <w:noProof/>
          </w:rPr>
          <w:t>2</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941036054">
    <w:abstractNumId w:val="2"/>
  </w:num>
  <w:num w:numId="2" w16cid:durableId="545677466">
    <w:abstractNumId w:val="3"/>
  </w:num>
  <w:num w:numId="3" w16cid:durableId="371075032">
    <w:abstractNumId w:val="0"/>
  </w:num>
  <w:num w:numId="4" w16cid:durableId="1899781153">
    <w:abstractNumId w:val="4"/>
  </w:num>
  <w:num w:numId="5" w16cid:durableId="203911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12DE9"/>
    <w:rsid w:val="000718E0"/>
    <w:rsid w:val="00076805"/>
    <w:rsid w:val="000D1B53"/>
    <w:rsid w:val="000D2F10"/>
    <w:rsid w:val="000D7EE6"/>
    <w:rsid w:val="000E307B"/>
    <w:rsid w:val="000E41F6"/>
    <w:rsid w:val="000E50A6"/>
    <w:rsid w:val="000E5AC3"/>
    <w:rsid w:val="000F066B"/>
    <w:rsid w:val="000F544D"/>
    <w:rsid w:val="000F673D"/>
    <w:rsid w:val="000F67B9"/>
    <w:rsid w:val="000F6E17"/>
    <w:rsid w:val="00103087"/>
    <w:rsid w:val="00114C54"/>
    <w:rsid w:val="001167C5"/>
    <w:rsid w:val="001233D7"/>
    <w:rsid w:val="00126B14"/>
    <w:rsid w:val="00127424"/>
    <w:rsid w:val="00137EA4"/>
    <w:rsid w:val="00145675"/>
    <w:rsid w:val="00146B4A"/>
    <w:rsid w:val="001511BC"/>
    <w:rsid w:val="001554B9"/>
    <w:rsid w:val="0016652B"/>
    <w:rsid w:val="0017106A"/>
    <w:rsid w:val="00191C60"/>
    <w:rsid w:val="001A1411"/>
    <w:rsid w:val="001A2DB7"/>
    <w:rsid w:val="001A3587"/>
    <w:rsid w:val="001A6362"/>
    <w:rsid w:val="001C4428"/>
    <w:rsid w:val="001D7800"/>
    <w:rsid w:val="001E4721"/>
    <w:rsid w:val="001F54EA"/>
    <w:rsid w:val="001F57A2"/>
    <w:rsid w:val="001F739A"/>
    <w:rsid w:val="00211754"/>
    <w:rsid w:val="0021203F"/>
    <w:rsid w:val="002121D9"/>
    <w:rsid w:val="0021406C"/>
    <w:rsid w:val="00231201"/>
    <w:rsid w:val="00233EC7"/>
    <w:rsid w:val="00240E24"/>
    <w:rsid w:val="002675C9"/>
    <w:rsid w:val="002A4D8E"/>
    <w:rsid w:val="002B1F2D"/>
    <w:rsid w:val="002B2A12"/>
    <w:rsid w:val="002B33C3"/>
    <w:rsid w:val="002B4123"/>
    <w:rsid w:val="002B4995"/>
    <w:rsid w:val="002C5CAC"/>
    <w:rsid w:val="002D2252"/>
    <w:rsid w:val="002F3C6A"/>
    <w:rsid w:val="002F7E32"/>
    <w:rsid w:val="00306F33"/>
    <w:rsid w:val="00317BF7"/>
    <w:rsid w:val="00322817"/>
    <w:rsid w:val="0032491D"/>
    <w:rsid w:val="00326F0D"/>
    <w:rsid w:val="00332962"/>
    <w:rsid w:val="00341E9E"/>
    <w:rsid w:val="0034716E"/>
    <w:rsid w:val="00357013"/>
    <w:rsid w:val="00357323"/>
    <w:rsid w:val="00357947"/>
    <w:rsid w:val="003723D7"/>
    <w:rsid w:val="003753C9"/>
    <w:rsid w:val="00383E66"/>
    <w:rsid w:val="00386E8F"/>
    <w:rsid w:val="003A18A3"/>
    <w:rsid w:val="003A38B4"/>
    <w:rsid w:val="003B39F3"/>
    <w:rsid w:val="003B648C"/>
    <w:rsid w:val="003C1B8E"/>
    <w:rsid w:val="003C2B31"/>
    <w:rsid w:val="003E0160"/>
    <w:rsid w:val="003E1FEE"/>
    <w:rsid w:val="003E3775"/>
    <w:rsid w:val="003E39CB"/>
    <w:rsid w:val="004008AC"/>
    <w:rsid w:val="00402D4B"/>
    <w:rsid w:val="004147FE"/>
    <w:rsid w:val="004227A6"/>
    <w:rsid w:val="0042740A"/>
    <w:rsid w:val="00432C8A"/>
    <w:rsid w:val="0043444D"/>
    <w:rsid w:val="00435E73"/>
    <w:rsid w:val="00437482"/>
    <w:rsid w:val="00457835"/>
    <w:rsid w:val="0046303C"/>
    <w:rsid w:val="004639AE"/>
    <w:rsid w:val="00466338"/>
    <w:rsid w:val="00472A00"/>
    <w:rsid w:val="004916ED"/>
    <w:rsid w:val="004923E5"/>
    <w:rsid w:val="004A3FD0"/>
    <w:rsid w:val="004A4DCE"/>
    <w:rsid w:val="004A4E12"/>
    <w:rsid w:val="004B10C1"/>
    <w:rsid w:val="004C421D"/>
    <w:rsid w:val="004C4AF0"/>
    <w:rsid w:val="004D19DA"/>
    <w:rsid w:val="004D7569"/>
    <w:rsid w:val="004E6303"/>
    <w:rsid w:val="004F2B9D"/>
    <w:rsid w:val="004F6F68"/>
    <w:rsid w:val="00506A6D"/>
    <w:rsid w:val="00515FC4"/>
    <w:rsid w:val="00520609"/>
    <w:rsid w:val="00520ABB"/>
    <w:rsid w:val="005211C4"/>
    <w:rsid w:val="00531500"/>
    <w:rsid w:val="00532BF4"/>
    <w:rsid w:val="00552E86"/>
    <w:rsid w:val="00560D20"/>
    <w:rsid w:val="00584DB8"/>
    <w:rsid w:val="00592B83"/>
    <w:rsid w:val="00594D4E"/>
    <w:rsid w:val="00595D89"/>
    <w:rsid w:val="005A163E"/>
    <w:rsid w:val="005B7443"/>
    <w:rsid w:val="005C5C04"/>
    <w:rsid w:val="005D126A"/>
    <w:rsid w:val="005E06B3"/>
    <w:rsid w:val="005E6886"/>
    <w:rsid w:val="005F711F"/>
    <w:rsid w:val="00603BD4"/>
    <w:rsid w:val="00605778"/>
    <w:rsid w:val="006074FF"/>
    <w:rsid w:val="0062207B"/>
    <w:rsid w:val="006315C1"/>
    <w:rsid w:val="006510B8"/>
    <w:rsid w:val="006709C3"/>
    <w:rsid w:val="00670C74"/>
    <w:rsid w:val="00672D4E"/>
    <w:rsid w:val="006A4C59"/>
    <w:rsid w:val="006B2507"/>
    <w:rsid w:val="006B3E5F"/>
    <w:rsid w:val="006C4792"/>
    <w:rsid w:val="006D7937"/>
    <w:rsid w:val="006D7F5D"/>
    <w:rsid w:val="006E26E9"/>
    <w:rsid w:val="006F16A6"/>
    <w:rsid w:val="006F49A7"/>
    <w:rsid w:val="006F7359"/>
    <w:rsid w:val="00702ADD"/>
    <w:rsid w:val="0070456D"/>
    <w:rsid w:val="00705EE8"/>
    <w:rsid w:val="00707243"/>
    <w:rsid w:val="00722992"/>
    <w:rsid w:val="007363AF"/>
    <w:rsid w:val="007412BA"/>
    <w:rsid w:val="00744A53"/>
    <w:rsid w:val="00745D73"/>
    <w:rsid w:val="007463B5"/>
    <w:rsid w:val="00754DD0"/>
    <w:rsid w:val="007555CF"/>
    <w:rsid w:val="00771BF0"/>
    <w:rsid w:val="00772357"/>
    <w:rsid w:val="0077335C"/>
    <w:rsid w:val="0077416E"/>
    <w:rsid w:val="00784C72"/>
    <w:rsid w:val="00792952"/>
    <w:rsid w:val="007A0764"/>
    <w:rsid w:val="007B448E"/>
    <w:rsid w:val="007C492C"/>
    <w:rsid w:val="007D5840"/>
    <w:rsid w:val="007D65A2"/>
    <w:rsid w:val="007E2757"/>
    <w:rsid w:val="007E2C9B"/>
    <w:rsid w:val="007E7518"/>
    <w:rsid w:val="0082577B"/>
    <w:rsid w:val="00826CD2"/>
    <w:rsid w:val="00837344"/>
    <w:rsid w:val="00846C6E"/>
    <w:rsid w:val="0085165A"/>
    <w:rsid w:val="008552ED"/>
    <w:rsid w:val="00861737"/>
    <w:rsid w:val="00865387"/>
    <w:rsid w:val="00866C76"/>
    <w:rsid w:val="00867BDE"/>
    <w:rsid w:val="00891B99"/>
    <w:rsid w:val="008A3393"/>
    <w:rsid w:val="008B0077"/>
    <w:rsid w:val="008B6572"/>
    <w:rsid w:val="008C22A1"/>
    <w:rsid w:val="008C4B93"/>
    <w:rsid w:val="008C5F66"/>
    <w:rsid w:val="008D4DEC"/>
    <w:rsid w:val="008F0632"/>
    <w:rsid w:val="00905C66"/>
    <w:rsid w:val="00910B33"/>
    <w:rsid w:val="0091296E"/>
    <w:rsid w:val="00913965"/>
    <w:rsid w:val="00916480"/>
    <w:rsid w:val="00942747"/>
    <w:rsid w:val="0094615B"/>
    <w:rsid w:val="0095290D"/>
    <w:rsid w:val="0095706F"/>
    <w:rsid w:val="00963F6C"/>
    <w:rsid w:val="00973FE7"/>
    <w:rsid w:val="00976BFF"/>
    <w:rsid w:val="00990C05"/>
    <w:rsid w:val="0099374E"/>
    <w:rsid w:val="009960A8"/>
    <w:rsid w:val="009B4B7D"/>
    <w:rsid w:val="009C6BF6"/>
    <w:rsid w:val="009D0C3B"/>
    <w:rsid w:val="009D3842"/>
    <w:rsid w:val="009D60B1"/>
    <w:rsid w:val="009F59CC"/>
    <w:rsid w:val="00A12BAA"/>
    <w:rsid w:val="00A4516E"/>
    <w:rsid w:val="00A728A0"/>
    <w:rsid w:val="00A830C2"/>
    <w:rsid w:val="00A860AA"/>
    <w:rsid w:val="00A87922"/>
    <w:rsid w:val="00A914EB"/>
    <w:rsid w:val="00AA6386"/>
    <w:rsid w:val="00AB094F"/>
    <w:rsid w:val="00AB13A3"/>
    <w:rsid w:val="00AB3FC2"/>
    <w:rsid w:val="00AB4D02"/>
    <w:rsid w:val="00AC0E11"/>
    <w:rsid w:val="00AC264D"/>
    <w:rsid w:val="00AC60E0"/>
    <w:rsid w:val="00AE4906"/>
    <w:rsid w:val="00AE64A1"/>
    <w:rsid w:val="00AF015B"/>
    <w:rsid w:val="00AF064C"/>
    <w:rsid w:val="00AF10BE"/>
    <w:rsid w:val="00B36D94"/>
    <w:rsid w:val="00B37A88"/>
    <w:rsid w:val="00B42068"/>
    <w:rsid w:val="00B4328B"/>
    <w:rsid w:val="00B50EE5"/>
    <w:rsid w:val="00B64A0C"/>
    <w:rsid w:val="00B7058A"/>
    <w:rsid w:val="00B7145F"/>
    <w:rsid w:val="00B718B8"/>
    <w:rsid w:val="00B74111"/>
    <w:rsid w:val="00B87051"/>
    <w:rsid w:val="00B9797B"/>
    <w:rsid w:val="00BB2598"/>
    <w:rsid w:val="00BC19CF"/>
    <w:rsid w:val="00BD2ADB"/>
    <w:rsid w:val="00BD4219"/>
    <w:rsid w:val="00BE7B81"/>
    <w:rsid w:val="00BF79F8"/>
    <w:rsid w:val="00C03736"/>
    <w:rsid w:val="00C20C49"/>
    <w:rsid w:val="00C23512"/>
    <w:rsid w:val="00C27C16"/>
    <w:rsid w:val="00C344F2"/>
    <w:rsid w:val="00C43DCA"/>
    <w:rsid w:val="00C440CE"/>
    <w:rsid w:val="00C51A4D"/>
    <w:rsid w:val="00C53F76"/>
    <w:rsid w:val="00C548DE"/>
    <w:rsid w:val="00C62980"/>
    <w:rsid w:val="00C67752"/>
    <w:rsid w:val="00C734E9"/>
    <w:rsid w:val="00C90466"/>
    <w:rsid w:val="00C968D0"/>
    <w:rsid w:val="00CA4E95"/>
    <w:rsid w:val="00CB0EC5"/>
    <w:rsid w:val="00CD116C"/>
    <w:rsid w:val="00CD358F"/>
    <w:rsid w:val="00CD4581"/>
    <w:rsid w:val="00CD71EC"/>
    <w:rsid w:val="00CF2B2D"/>
    <w:rsid w:val="00CF3AED"/>
    <w:rsid w:val="00D030B3"/>
    <w:rsid w:val="00D132F0"/>
    <w:rsid w:val="00D160A4"/>
    <w:rsid w:val="00D21463"/>
    <w:rsid w:val="00D239FC"/>
    <w:rsid w:val="00D23F9E"/>
    <w:rsid w:val="00D27491"/>
    <w:rsid w:val="00D341C6"/>
    <w:rsid w:val="00D3736A"/>
    <w:rsid w:val="00D37981"/>
    <w:rsid w:val="00D60638"/>
    <w:rsid w:val="00D64AFA"/>
    <w:rsid w:val="00D76DA7"/>
    <w:rsid w:val="00D81956"/>
    <w:rsid w:val="00D90F9C"/>
    <w:rsid w:val="00DA005D"/>
    <w:rsid w:val="00DD0AE5"/>
    <w:rsid w:val="00DD1108"/>
    <w:rsid w:val="00DD2A72"/>
    <w:rsid w:val="00DE0277"/>
    <w:rsid w:val="00DE4347"/>
    <w:rsid w:val="00E059DD"/>
    <w:rsid w:val="00E05FC1"/>
    <w:rsid w:val="00E138A1"/>
    <w:rsid w:val="00E41109"/>
    <w:rsid w:val="00E43141"/>
    <w:rsid w:val="00E576A7"/>
    <w:rsid w:val="00E72339"/>
    <w:rsid w:val="00E756D3"/>
    <w:rsid w:val="00E865E2"/>
    <w:rsid w:val="00E912E0"/>
    <w:rsid w:val="00E9529E"/>
    <w:rsid w:val="00EA201D"/>
    <w:rsid w:val="00EB728A"/>
    <w:rsid w:val="00EC3AEC"/>
    <w:rsid w:val="00EC6AE2"/>
    <w:rsid w:val="00ED7BAB"/>
    <w:rsid w:val="00EE573F"/>
    <w:rsid w:val="00EF2AD2"/>
    <w:rsid w:val="00EF3663"/>
    <w:rsid w:val="00EF4E6D"/>
    <w:rsid w:val="00F1282C"/>
    <w:rsid w:val="00F14032"/>
    <w:rsid w:val="00F2312A"/>
    <w:rsid w:val="00F31DF3"/>
    <w:rsid w:val="00F368BF"/>
    <w:rsid w:val="00F43CE9"/>
    <w:rsid w:val="00F54F88"/>
    <w:rsid w:val="00F56724"/>
    <w:rsid w:val="00F62E8F"/>
    <w:rsid w:val="00F66347"/>
    <w:rsid w:val="00F71186"/>
    <w:rsid w:val="00F91F11"/>
    <w:rsid w:val="00FA5EE3"/>
    <w:rsid w:val="00FB1F42"/>
    <w:rsid w:val="00FC3561"/>
    <w:rsid w:val="00FD4141"/>
    <w:rsid w:val="00FD5FD1"/>
    <w:rsid w:val="00FE0AB8"/>
    <w:rsid w:val="00FE60BC"/>
    <w:rsid w:val="00FE7730"/>
    <w:rsid w:val="00FF27E4"/>
    <w:rsid w:val="00FF351D"/>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7B742395-1CDA-4614-806F-B9CFAD78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394087130">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34549449">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665427765">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9C4AD-DD83-43D9-89E1-3DA0A9278FC9}">
  <ds:schemaRefs>
    <ds:schemaRef ds:uri="http://schemas.openxmlformats.org/officeDocument/2006/bibliography"/>
  </ds:schemaRefs>
</ds:datastoreItem>
</file>

<file path=customXml/itemProps2.xml><?xml version="1.0" encoding="utf-8"?>
<ds:datastoreItem xmlns:ds="http://schemas.openxmlformats.org/officeDocument/2006/customXml" ds:itemID="{90FE5EC2-6CE3-47BB-94DE-966992D0C604}">
  <ds:schemaRefs>
    <ds:schemaRef ds:uri="http://purl.org/dc/dcmitype/"/>
    <ds:schemaRef ds:uri="http://schemas.microsoft.com/office/2006/documentManagement/types"/>
    <ds:schemaRef ds:uri="http://schemas.microsoft.com/office/2006/metadata/properties"/>
    <ds:schemaRef ds:uri="f5aad5d0-9c26-490e-8743-a6c7ceabd501"/>
    <ds:schemaRef ds:uri="http://schemas.microsoft.com/sharepoint/v3"/>
    <ds:schemaRef ds:uri="http://purl.org/dc/terms/"/>
    <ds:schemaRef ds:uri="http://purl.org/dc/elements/1.1/"/>
    <ds:schemaRef ds:uri="http://schemas.microsoft.com/office/infopath/2007/PartnerControls"/>
    <ds:schemaRef ds:uri="http://schemas.openxmlformats.org/package/2006/metadata/core-properties"/>
    <ds:schemaRef ds:uri="19cf09c5-daa1-4028-a0ff-74a0be4ec5cc"/>
    <ds:schemaRef ds:uri="http://www.w3.org/XML/1998/namespace"/>
  </ds:schemaRefs>
</ds:datastoreItem>
</file>

<file path=customXml/itemProps3.xml><?xml version="1.0" encoding="utf-8"?>
<ds:datastoreItem xmlns:ds="http://schemas.openxmlformats.org/officeDocument/2006/customXml" ds:itemID="{B0963E1E-75F9-4DE9-973A-0733D824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0E2F4-C553-4825-AB8D-4F562BA6E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2032</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5</cp:revision>
  <dcterms:created xsi:type="dcterms:W3CDTF">2025-04-04T11:34:00Z</dcterms:created>
  <dcterms:modified xsi:type="dcterms:W3CDTF">2025-04-11T07:22:00Z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