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73" w:rsidRDefault="00111E8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val="en-US" w:bidi="ar-SA"/>
        </w:rPr>
        <w:drawing>
          <wp:inline distT="0" distB="0" distL="0" distR="0">
            <wp:extent cx="51943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F73" w:rsidRDefault="00D54F73">
      <w:pPr>
        <w:spacing w:before="17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LIETUVOS RESPUBLIKOS APLINKOS MINISTRAS</w:t>
      </w:r>
      <w:r>
        <w:rPr>
          <w:rFonts w:ascii="Times New Roman" w:hAnsi="Times New Roman"/>
          <w:b/>
          <w:bCs/>
        </w:rPr>
        <w:br/>
      </w:r>
    </w:p>
    <w:p w:rsidR="00EA691D" w:rsidRDefault="00EA691D">
      <w:pPr>
        <w:jc w:val="center"/>
        <w:rPr>
          <w:b/>
          <w:bCs/>
        </w:rPr>
      </w:pPr>
      <w:bookmarkStart w:id="0" w:name="antraste"/>
      <w:bookmarkEnd w:id="0"/>
      <w:r>
        <w:rPr>
          <w:b/>
          <w:bCs/>
        </w:rPr>
        <w:t>ĮSAKYMAS</w:t>
      </w:r>
    </w:p>
    <w:p w:rsidR="00D54F73" w:rsidRPr="00A11412" w:rsidRDefault="006B66BA">
      <w:pPr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szCs w:val="20"/>
        </w:rPr>
        <w:t>DĖL LIETUVOS RESPUBLIKOS APLINKOS MINISTRO 2019 M. VASARIO 19 D. ĮSAKYMO NR. D1-96 „</w:t>
      </w:r>
      <w:r w:rsidR="00E11EC0">
        <w:rPr>
          <w:b/>
          <w:bCs/>
        </w:rPr>
        <w:t xml:space="preserve">DĖL APLINKOS APSAUGOS RĖMIMO PROGRAMOS </w:t>
      </w:r>
      <w:r w:rsidR="00E11EC0">
        <w:rPr>
          <w:b/>
        </w:rPr>
        <w:t>201</w:t>
      </w:r>
      <w:r w:rsidR="00890832">
        <w:rPr>
          <w:b/>
        </w:rPr>
        <w:t>9</w:t>
      </w:r>
      <w:r w:rsidR="00E11EC0">
        <w:rPr>
          <w:b/>
        </w:rPr>
        <w:t xml:space="preserve"> M. FINANSAVIMO KRYPČIŲ PATVIRTINIMO</w:t>
      </w:r>
      <w:r>
        <w:rPr>
          <w:b/>
        </w:rPr>
        <w:t>“ PAKEITIMO</w:t>
      </w:r>
    </w:p>
    <w:p w:rsidR="00EA691D" w:rsidRDefault="00EA691D">
      <w:pPr>
        <w:jc w:val="center"/>
        <w:rPr>
          <w:rFonts w:ascii="Times New Roman" w:hAnsi="Times New Roman"/>
        </w:rPr>
      </w:pPr>
    </w:p>
    <w:p w:rsidR="0053577C" w:rsidRDefault="00D54F73">
      <w:pPr>
        <w:jc w:val="center"/>
        <w:rPr>
          <w:rFonts w:ascii="Times New Roman" w:hAnsi="Times New Roman"/>
        </w:rPr>
      </w:pPr>
      <w:bookmarkStart w:id="1" w:name="data_metai"/>
      <w:bookmarkEnd w:id="1"/>
      <w:r>
        <w:rPr>
          <w:rFonts w:ascii="Times New Roman" w:hAnsi="Times New Roman"/>
        </w:rPr>
        <w:t>201</w:t>
      </w:r>
      <w:r w:rsidR="00890832">
        <w:rPr>
          <w:rFonts w:ascii="Times New Roman" w:hAnsi="Times New Roman"/>
        </w:rPr>
        <w:t>9</w:t>
      </w:r>
      <w:r w:rsidR="000155F4">
        <w:rPr>
          <w:rFonts w:ascii="Times New Roman" w:hAnsi="Times New Roman"/>
        </w:rPr>
        <w:t xml:space="preserve"> </w:t>
      </w:r>
      <w:r w:rsidR="00E16762">
        <w:rPr>
          <w:rFonts w:ascii="Times New Roman" w:hAnsi="Times New Roman"/>
        </w:rPr>
        <w:t>m.</w:t>
      </w:r>
      <w:r w:rsidR="007135F8">
        <w:rPr>
          <w:rFonts w:ascii="Times New Roman" w:hAnsi="Times New Roman"/>
        </w:rPr>
        <w:t xml:space="preserve"> </w:t>
      </w:r>
      <w:r w:rsidR="005E2832">
        <w:rPr>
          <w:rFonts w:ascii="Times New Roman" w:hAnsi="Times New Roman"/>
        </w:rPr>
        <w:t xml:space="preserve">liepos </w:t>
      </w:r>
      <w:r w:rsidR="00A42F78">
        <w:rPr>
          <w:rFonts w:ascii="Times New Roman" w:hAnsi="Times New Roman"/>
        </w:rPr>
        <w:t>17</w:t>
      </w:r>
      <w:r w:rsidR="006B66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d. Nr. </w:t>
      </w:r>
      <w:r w:rsidR="007135F8">
        <w:rPr>
          <w:rFonts w:ascii="Times New Roman" w:hAnsi="Times New Roman"/>
        </w:rPr>
        <w:t>D1-</w:t>
      </w:r>
      <w:r w:rsidR="00A42F78">
        <w:rPr>
          <w:rFonts w:ascii="Times New Roman" w:hAnsi="Times New Roman"/>
        </w:rPr>
        <w:t>424</w:t>
      </w:r>
      <w:r w:rsidR="0053577C">
        <w:rPr>
          <w:rFonts w:ascii="Times New Roman" w:hAnsi="Times New Roman"/>
        </w:rPr>
        <w:t xml:space="preserve"> </w:t>
      </w:r>
      <w:r w:rsidR="005E2832">
        <w:rPr>
          <w:rFonts w:ascii="Times New Roman" w:hAnsi="Times New Roman"/>
        </w:rPr>
        <w:t xml:space="preserve">     </w:t>
      </w:r>
    </w:p>
    <w:p w:rsidR="00D54F73" w:rsidRDefault="00D54F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Vilnius</w:t>
      </w:r>
      <w:r>
        <w:rPr>
          <w:rFonts w:ascii="Times New Roman" w:hAnsi="Times New Roman"/>
        </w:rPr>
        <w:br/>
      </w:r>
    </w:p>
    <w:p w:rsidR="00D54F73" w:rsidRDefault="00D54F73" w:rsidP="00EA691D">
      <w:pPr>
        <w:rPr>
          <w:rFonts w:ascii="Times New Roman" w:hAnsi="Times New Roman"/>
        </w:rPr>
      </w:pPr>
    </w:p>
    <w:p w:rsidR="006B66BA" w:rsidRPr="00773595" w:rsidRDefault="006B66BA" w:rsidP="006B66BA">
      <w:pPr>
        <w:ind w:firstLine="567"/>
        <w:jc w:val="both"/>
        <w:rPr>
          <w:rFonts w:ascii="Times New Roman" w:eastAsia="Times New Roman" w:hAnsi="Times New Roman" w:cs="Times New Roman"/>
          <w:szCs w:val="20"/>
        </w:rPr>
      </w:pPr>
      <w:r w:rsidRPr="00D243BB">
        <w:rPr>
          <w:rFonts w:ascii="Times New Roman" w:hAnsi="Times New Roman" w:cs="Times New Roman"/>
          <w:lang w:val="en-GB"/>
        </w:rPr>
        <w:t>P</w:t>
      </w:r>
      <w:r w:rsidRPr="00D243BB">
        <w:rPr>
          <w:rFonts w:ascii="Times New Roman" w:eastAsia="Times New Roman" w:hAnsi="Times New Roman" w:cs="Times New Roman"/>
          <w:szCs w:val="20"/>
        </w:rPr>
        <w:t xml:space="preserve"> a k e i č i u </w:t>
      </w:r>
      <w:r>
        <w:t>Aplinkos apsaugos rėmimo programos 2019 m. finansavimo kryptis,</w:t>
      </w:r>
      <w:r w:rsidRPr="00773595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patvirtintas </w:t>
      </w:r>
      <w:r w:rsidRPr="00D243BB">
        <w:rPr>
          <w:rFonts w:ascii="Times New Roman" w:hAnsi="Times New Roman" w:cs="Times New Roman"/>
        </w:rPr>
        <w:t>Lietuvos Respublikos aplinkos ministro 201</w:t>
      </w:r>
      <w:r>
        <w:rPr>
          <w:rFonts w:ascii="Times New Roman" w:hAnsi="Times New Roman" w:cs="Times New Roman"/>
        </w:rPr>
        <w:t>9</w:t>
      </w:r>
      <w:r w:rsidRPr="00D243BB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vasario</w:t>
      </w:r>
      <w:r w:rsidRPr="00D243BB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9</w:t>
      </w:r>
      <w:r w:rsidRPr="00D243BB">
        <w:rPr>
          <w:rFonts w:ascii="Times New Roman" w:hAnsi="Times New Roman" w:cs="Times New Roman"/>
        </w:rPr>
        <w:t xml:space="preserve"> d. įsakym</w:t>
      </w:r>
      <w:r>
        <w:rPr>
          <w:rFonts w:ascii="Times New Roman" w:hAnsi="Times New Roman" w:cs="Times New Roman"/>
        </w:rPr>
        <w:t>u</w:t>
      </w:r>
      <w:r w:rsidRPr="00D243BB">
        <w:rPr>
          <w:rFonts w:ascii="Times New Roman" w:hAnsi="Times New Roman" w:cs="Times New Roman"/>
        </w:rPr>
        <w:t xml:space="preserve"> Nr. D1-</w:t>
      </w:r>
      <w:r>
        <w:rPr>
          <w:rFonts w:ascii="Times New Roman" w:hAnsi="Times New Roman" w:cs="Times New Roman"/>
        </w:rPr>
        <w:t>96</w:t>
      </w:r>
      <w:r w:rsidRPr="00D243BB">
        <w:rPr>
          <w:rFonts w:ascii="Times New Roman" w:hAnsi="Times New Roman" w:cs="Times New Roman"/>
        </w:rPr>
        <w:t xml:space="preserve"> „</w:t>
      </w:r>
      <w:r w:rsidRPr="00773595">
        <w:rPr>
          <w:rFonts w:ascii="Times New Roman" w:eastAsia="Times New Roman" w:hAnsi="Times New Roman" w:cs="Times New Roman"/>
          <w:szCs w:val="20"/>
        </w:rPr>
        <w:t xml:space="preserve">Dėl </w:t>
      </w:r>
      <w:r>
        <w:t>Aplinkos apsaugos rėmimo programos 2019 m. finansavimo krypčių patvirtinimo</w:t>
      </w:r>
      <w:r w:rsidRPr="00773595">
        <w:rPr>
          <w:rFonts w:ascii="Times New Roman" w:eastAsia="Times New Roman" w:hAnsi="Times New Roman" w:cs="Times New Roman"/>
          <w:szCs w:val="20"/>
        </w:rPr>
        <w:t>“</w:t>
      </w:r>
      <w:r>
        <w:rPr>
          <w:rFonts w:ascii="Times New Roman" w:eastAsia="Times New Roman" w:hAnsi="Times New Roman" w:cs="Times New Roman"/>
          <w:szCs w:val="20"/>
        </w:rPr>
        <w:t xml:space="preserve">, </w:t>
      </w:r>
      <w:r w:rsidRPr="00773595">
        <w:rPr>
          <w:rFonts w:ascii="Times New Roman" w:eastAsia="Times New Roman" w:hAnsi="Times New Roman" w:cs="Times New Roman"/>
          <w:szCs w:val="20"/>
        </w:rPr>
        <w:t>ir jas išdėstau nauja redakcija (pridedama).</w:t>
      </w:r>
    </w:p>
    <w:p w:rsidR="00AD1D0A" w:rsidRPr="008A4C31" w:rsidRDefault="00AD1D0A" w:rsidP="008A43A8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Cs w:val="20"/>
        </w:rPr>
      </w:pPr>
    </w:p>
    <w:p w:rsidR="00D54F73" w:rsidRDefault="00D54F73"/>
    <w:p w:rsidR="00D54F73" w:rsidRDefault="00D54F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3"/>
        <w:gridCol w:w="4302"/>
      </w:tblGrid>
      <w:tr w:rsidR="00D54F73">
        <w:trPr>
          <w:trHeight w:val="297"/>
        </w:trPr>
        <w:tc>
          <w:tcPr>
            <w:tcW w:w="4863" w:type="dxa"/>
            <w:vAlign w:val="bottom"/>
          </w:tcPr>
          <w:p w:rsidR="00D54F73" w:rsidRDefault="00D54F7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302" w:type="dxa"/>
            <w:vAlign w:val="bottom"/>
          </w:tcPr>
          <w:p w:rsidR="00D54F73" w:rsidRDefault="00D54F73" w:rsidP="00B463F4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D54F73">
        <w:trPr>
          <w:trHeight w:val="297"/>
        </w:trPr>
        <w:tc>
          <w:tcPr>
            <w:tcW w:w="4863" w:type="dxa"/>
            <w:vAlign w:val="bottom"/>
          </w:tcPr>
          <w:p w:rsidR="00D54F73" w:rsidRDefault="00D54F7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302" w:type="dxa"/>
            <w:vAlign w:val="bottom"/>
          </w:tcPr>
          <w:p w:rsidR="00D54F73" w:rsidRDefault="00D54F73" w:rsidP="00AC41CA">
            <w:pPr>
              <w:snapToGrid w:val="0"/>
              <w:ind w:right="-616"/>
              <w:jc w:val="right"/>
              <w:rPr>
                <w:rFonts w:ascii="Times New Roman" w:hAnsi="Times New Roman"/>
              </w:rPr>
            </w:pPr>
          </w:p>
        </w:tc>
      </w:tr>
    </w:tbl>
    <w:p w:rsidR="00D54F73" w:rsidRDefault="00D54F73"/>
    <w:p w:rsidR="00D54F73" w:rsidRDefault="00AC41CA" w:rsidP="00AC41CA">
      <w:pPr>
        <w:tabs>
          <w:tab w:val="left" w:pos="9639"/>
        </w:tabs>
      </w:pPr>
      <w:r w:rsidRPr="00AC41CA">
        <w:t xml:space="preserve">Laikinai einantis aplinkos ministro pareigas </w:t>
      </w:r>
      <w:r w:rsidR="005E2832" w:rsidRPr="005E2832">
        <w:t xml:space="preserve"> </w:t>
      </w:r>
      <w:r w:rsidR="005E2832">
        <w:t xml:space="preserve">   </w:t>
      </w:r>
      <w:r>
        <w:t xml:space="preserve">                                                       </w:t>
      </w:r>
      <w:r w:rsidR="005E2832">
        <w:t xml:space="preserve"> </w:t>
      </w:r>
      <w:r w:rsidRPr="005E2832">
        <w:t>K</w:t>
      </w:r>
      <w:r w:rsidRPr="005E2832">
        <w:rPr>
          <w:rFonts w:hint="cs"/>
        </w:rPr>
        <w:t>ę</w:t>
      </w:r>
      <w:r w:rsidRPr="005E2832">
        <w:t>stutis Ma</w:t>
      </w:r>
      <w:r w:rsidRPr="005E2832">
        <w:rPr>
          <w:rFonts w:hint="cs"/>
        </w:rPr>
        <w:t>ž</w:t>
      </w:r>
      <w:r w:rsidRPr="005E2832">
        <w:t>eika</w:t>
      </w:r>
      <w:r w:rsidR="005E2832">
        <w:t xml:space="preserve">                                                                                     </w:t>
      </w:r>
    </w:p>
    <w:p w:rsidR="00CF55E6" w:rsidRDefault="00CF55E6"/>
    <w:p w:rsidR="000B040F" w:rsidRDefault="000B040F"/>
    <w:p w:rsidR="00B21D5C" w:rsidRDefault="00B21D5C"/>
    <w:p w:rsidR="00B21D5C" w:rsidRDefault="00B21D5C"/>
    <w:p w:rsidR="00B21D5C" w:rsidRDefault="00B21D5C"/>
    <w:p w:rsidR="00B21D5C" w:rsidRDefault="00B21D5C"/>
    <w:p w:rsidR="00B21D5C" w:rsidRDefault="00B21D5C"/>
    <w:p w:rsidR="00B21D5C" w:rsidRDefault="00B21D5C"/>
    <w:p w:rsidR="008A43A8" w:rsidRDefault="008A43A8"/>
    <w:p w:rsidR="008A43A8" w:rsidRDefault="008A43A8"/>
    <w:p w:rsidR="00EC1923" w:rsidRDefault="00EC1923"/>
    <w:p w:rsidR="00EC1923" w:rsidRDefault="00EC1923"/>
    <w:p w:rsidR="00890832" w:rsidRDefault="00890832"/>
    <w:p w:rsidR="00890832" w:rsidRDefault="00890832"/>
    <w:p w:rsidR="00890832" w:rsidRDefault="00890832"/>
    <w:p w:rsidR="00684FA4" w:rsidRDefault="00684FA4"/>
    <w:p w:rsidR="00890832" w:rsidRDefault="00890832"/>
    <w:p w:rsidR="00D54F73" w:rsidRDefault="00D54F73">
      <w:pPr>
        <w:rPr>
          <w:rFonts w:ascii="Times New Roman" w:hAnsi="Times New Roman"/>
        </w:rPr>
      </w:pPr>
      <w:r>
        <w:rPr>
          <w:rFonts w:ascii="Times New Roman" w:hAnsi="Times New Roman"/>
        </w:rPr>
        <w:t>Parengė</w:t>
      </w:r>
    </w:p>
    <w:p w:rsidR="00D54F73" w:rsidRDefault="00B639A8">
      <w:pPr>
        <w:rPr>
          <w:rFonts w:ascii="Times New Roman" w:hAnsi="Times New Roman"/>
        </w:rPr>
      </w:pPr>
      <w:r>
        <w:rPr>
          <w:rFonts w:ascii="Times New Roman" w:hAnsi="Times New Roman"/>
        </w:rPr>
        <w:t>Gražina Rapkauskienė</w:t>
      </w:r>
    </w:p>
    <w:p w:rsidR="00E56692" w:rsidRDefault="00B21D5C">
      <w:pPr>
        <w:rPr>
          <w:rFonts w:ascii="Times New Roman" w:hAnsi="Times New Roman"/>
        </w:rPr>
      </w:pPr>
      <w:r>
        <w:rPr>
          <w:rFonts w:ascii="Times New Roman" w:hAnsi="Times New Roman"/>
        </w:rPr>
        <w:t>201</w:t>
      </w:r>
      <w:r w:rsidR="00890832">
        <w:rPr>
          <w:rFonts w:ascii="Times New Roman" w:hAnsi="Times New Roman"/>
        </w:rPr>
        <w:t>9</w:t>
      </w:r>
      <w:r>
        <w:rPr>
          <w:rFonts w:ascii="Times New Roman" w:hAnsi="Times New Roman"/>
        </w:rPr>
        <w:t>-0</w:t>
      </w:r>
      <w:r w:rsidR="005E2832">
        <w:rPr>
          <w:rFonts w:ascii="Times New Roman" w:hAnsi="Times New Roman"/>
        </w:rPr>
        <w:t>7</w:t>
      </w:r>
      <w:r w:rsidR="00CF712B">
        <w:rPr>
          <w:rFonts w:ascii="Times New Roman" w:hAnsi="Times New Roman"/>
        </w:rPr>
        <w:t>-</w:t>
      </w:r>
      <w:r w:rsidR="005E2832">
        <w:rPr>
          <w:rFonts w:ascii="Times New Roman" w:hAnsi="Times New Roman"/>
        </w:rPr>
        <w:t>11</w:t>
      </w:r>
    </w:p>
    <w:p w:rsidR="004A0708" w:rsidRDefault="004A0708">
      <w:pPr>
        <w:rPr>
          <w:rFonts w:ascii="Times New Roman" w:hAnsi="Times New Roman"/>
        </w:rPr>
      </w:pPr>
    </w:p>
    <w:p w:rsidR="00846DD3" w:rsidRDefault="00846DD3" w:rsidP="00846DD3">
      <w:r>
        <w:t xml:space="preserve">                             </w:t>
      </w:r>
    </w:p>
    <w:p w:rsidR="005E2832" w:rsidRDefault="005E2832" w:rsidP="00846DD3"/>
    <w:p w:rsidR="005E2832" w:rsidRDefault="005E2832" w:rsidP="00846DD3"/>
    <w:p w:rsidR="00846DD3" w:rsidRDefault="00846DD3" w:rsidP="00846DD3"/>
    <w:p w:rsidR="0032592F" w:rsidRDefault="0032592F" w:rsidP="0032592F">
      <w:pPr>
        <w:ind w:left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</w:t>
      </w:r>
    </w:p>
    <w:p w:rsidR="0032592F" w:rsidRPr="0032592F" w:rsidRDefault="0032592F" w:rsidP="0032592F">
      <w:pPr>
        <w:ind w:left="5387"/>
        <w:rPr>
          <w:rFonts w:ascii="Times New Roman" w:hAnsi="Times New Roman" w:cs="Times New Roman"/>
        </w:rPr>
      </w:pPr>
      <w:r w:rsidRPr="0032592F">
        <w:rPr>
          <w:rFonts w:ascii="Times New Roman" w:hAnsi="Times New Roman" w:cs="Times New Roman"/>
        </w:rPr>
        <w:t xml:space="preserve">PATVIRTINTA 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32592F">
        <w:rPr>
          <w:rFonts w:ascii="Times New Roman" w:hAnsi="Times New Roman" w:cs="Times New Roman"/>
        </w:rPr>
        <w:t xml:space="preserve">Lietuvos Respublikos aplinkos ministro               </w:t>
      </w:r>
      <w:r>
        <w:rPr>
          <w:rFonts w:ascii="Times New Roman" w:hAnsi="Times New Roman" w:cs="Times New Roman"/>
        </w:rPr>
        <w:t xml:space="preserve">               </w:t>
      </w:r>
      <w:r w:rsidRPr="0032592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32592F">
        <w:rPr>
          <w:rFonts w:ascii="Times New Roman" w:hAnsi="Times New Roman" w:cs="Times New Roman"/>
        </w:rPr>
        <w:t xml:space="preserve">2019 m. </w:t>
      </w:r>
      <w:r>
        <w:rPr>
          <w:rFonts w:ascii="Times New Roman" w:hAnsi="Times New Roman" w:cs="Times New Roman"/>
        </w:rPr>
        <w:t>vasario</w:t>
      </w:r>
      <w:r w:rsidRPr="0032592F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9</w:t>
      </w:r>
      <w:r w:rsidRPr="0032592F">
        <w:rPr>
          <w:rFonts w:ascii="Times New Roman" w:hAnsi="Times New Roman" w:cs="Times New Roman"/>
        </w:rPr>
        <w:t xml:space="preserve"> d. </w:t>
      </w:r>
      <w:r w:rsidRPr="0032592F">
        <w:rPr>
          <w:rFonts w:ascii="Times New Roman" w:hAnsi="Times New Roman" w:cs="Times New Roman" w:hint="cs"/>
        </w:rPr>
        <w:t>į</w:t>
      </w:r>
      <w:r w:rsidRPr="0032592F">
        <w:rPr>
          <w:rFonts w:ascii="Times New Roman" w:hAnsi="Times New Roman" w:cs="Times New Roman"/>
        </w:rPr>
        <w:t>sakymu Nr. D1-</w:t>
      </w:r>
      <w:r>
        <w:rPr>
          <w:rFonts w:ascii="Times New Roman" w:hAnsi="Times New Roman" w:cs="Times New Roman"/>
        </w:rPr>
        <w:t xml:space="preserve">96                                         </w:t>
      </w:r>
      <w:r w:rsidRPr="0032592F">
        <w:rPr>
          <w:rFonts w:ascii="Times New Roman" w:hAnsi="Times New Roman" w:cs="Times New Roman"/>
        </w:rPr>
        <w:t xml:space="preserve">(Lietuvos Respublikos aplinkos ministro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32592F">
        <w:rPr>
          <w:rFonts w:ascii="Times New Roman" w:hAnsi="Times New Roman" w:cs="Times New Roman"/>
        </w:rPr>
        <w:t xml:space="preserve">2019 m. liepos </w:t>
      </w:r>
      <w:r w:rsidR="00615BCA">
        <w:rPr>
          <w:rFonts w:ascii="Times New Roman" w:hAnsi="Times New Roman" w:cs="Times New Roman"/>
        </w:rPr>
        <w:t xml:space="preserve">17 </w:t>
      </w:r>
      <w:r w:rsidRPr="0032592F">
        <w:rPr>
          <w:rFonts w:ascii="Times New Roman" w:hAnsi="Times New Roman" w:cs="Times New Roman"/>
        </w:rPr>
        <w:t xml:space="preserve">d. </w:t>
      </w:r>
      <w:r w:rsidRPr="0032592F">
        <w:rPr>
          <w:rFonts w:ascii="Times New Roman" w:hAnsi="Times New Roman" w:cs="Times New Roman" w:hint="cs"/>
        </w:rPr>
        <w:t>į</w:t>
      </w:r>
      <w:r w:rsidRPr="0032592F">
        <w:rPr>
          <w:rFonts w:ascii="Times New Roman" w:hAnsi="Times New Roman" w:cs="Times New Roman"/>
        </w:rPr>
        <w:t>sakymo</w:t>
      </w:r>
      <w:r>
        <w:rPr>
          <w:rFonts w:ascii="Times New Roman" w:hAnsi="Times New Roman" w:cs="Times New Roman"/>
        </w:rPr>
        <w:t xml:space="preserve"> </w:t>
      </w:r>
      <w:r w:rsidRPr="0032592F">
        <w:rPr>
          <w:rFonts w:ascii="Times New Roman" w:hAnsi="Times New Roman" w:cs="Times New Roman"/>
        </w:rPr>
        <w:t xml:space="preserve"> Nr. D1-</w:t>
      </w:r>
      <w:r w:rsidR="00615BCA">
        <w:rPr>
          <w:rFonts w:ascii="Times New Roman" w:hAnsi="Times New Roman" w:cs="Times New Roman"/>
        </w:rPr>
        <w:t>424</w:t>
      </w:r>
      <w:r w:rsidRPr="0032592F">
        <w:rPr>
          <w:rFonts w:ascii="Times New Roman" w:hAnsi="Times New Roman" w:cs="Times New Roman"/>
        </w:rPr>
        <w:t xml:space="preserve">                 redakcija)                                                                                                                        </w:t>
      </w:r>
    </w:p>
    <w:p w:rsidR="0032592F" w:rsidRDefault="0032592F" w:rsidP="00846DD3">
      <w:pPr>
        <w:jc w:val="center"/>
        <w:rPr>
          <w:rFonts w:ascii="Times New Roman" w:hAnsi="Times New Roman" w:cs="Times New Roman"/>
          <w:b/>
        </w:rPr>
      </w:pPr>
    </w:p>
    <w:p w:rsidR="00846DD3" w:rsidRDefault="00846DD3" w:rsidP="00846DD3">
      <w:pPr>
        <w:jc w:val="center"/>
        <w:rPr>
          <w:rFonts w:ascii="Times New Roman" w:hAnsi="Times New Roman" w:cs="Times New Roman"/>
          <w:b/>
        </w:rPr>
      </w:pPr>
      <w:r w:rsidRPr="00525525">
        <w:rPr>
          <w:rFonts w:ascii="Times New Roman" w:hAnsi="Times New Roman" w:cs="Times New Roman"/>
          <w:b/>
        </w:rPr>
        <w:t>Aplinkos apsaugos rėmimo programos 2019 metų finansavimo kryptys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4840"/>
        <w:gridCol w:w="1300"/>
        <w:gridCol w:w="1137"/>
        <w:gridCol w:w="1820"/>
      </w:tblGrid>
      <w:tr w:rsidR="00846DD3" w:rsidRPr="00525525" w:rsidTr="00D3045E">
        <w:trPr>
          <w:trHeight w:val="525"/>
        </w:trPr>
        <w:tc>
          <w:tcPr>
            <w:tcW w:w="711" w:type="dxa"/>
            <w:vMerge w:val="restart"/>
            <w:vAlign w:val="center"/>
            <w:hideMark/>
          </w:tcPr>
          <w:p w:rsidR="00846DD3" w:rsidRPr="00E418C3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Eil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Nr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960" w:type="dxa"/>
            <w:vMerge w:val="restart"/>
            <w:vAlign w:val="center"/>
            <w:hideMark/>
          </w:tcPr>
          <w:p w:rsidR="00846DD3" w:rsidRPr="00E418C3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Krypčių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pavadinimai</w:t>
            </w:r>
            <w:proofErr w:type="spellEnd"/>
          </w:p>
        </w:tc>
        <w:tc>
          <w:tcPr>
            <w:tcW w:w="2340" w:type="dxa"/>
            <w:gridSpan w:val="2"/>
            <w:vMerge w:val="restart"/>
            <w:vAlign w:val="center"/>
            <w:hideMark/>
          </w:tcPr>
          <w:p w:rsidR="00846DD3" w:rsidRPr="00E418C3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Lėšos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finansavimo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šaltinis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1.6.1.1.5)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skirtos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lėšos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</w:p>
        </w:tc>
        <w:tc>
          <w:tcPr>
            <w:tcW w:w="1820" w:type="dxa"/>
            <w:vMerge w:val="restart"/>
            <w:vAlign w:val="center"/>
            <w:hideMark/>
          </w:tcPr>
          <w:p w:rsidR="00846DD3" w:rsidRPr="00E418C3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Lėšų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gavėjas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vykdytojas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atsakinga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institucija</w:t>
            </w:r>
            <w:proofErr w:type="spellEnd"/>
          </w:p>
        </w:tc>
      </w:tr>
      <w:tr w:rsidR="00846DD3" w:rsidRPr="00525525" w:rsidTr="00D3045E">
        <w:trPr>
          <w:trHeight w:val="276"/>
        </w:trPr>
        <w:tc>
          <w:tcPr>
            <w:tcW w:w="711" w:type="dxa"/>
            <w:vMerge/>
            <w:vAlign w:val="center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0" w:type="dxa"/>
            <w:vMerge/>
            <w:vAlign w:val="center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gridSpan w:val="2"/>
            <w:vMerge/>
            <w:vAlign w:val="center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46DD3" w:rsidRPr="00525525" w:rsidTr="00D3045E">
        <w:trPr>
          <w:trHeight w:val="675"/>
        </w:trPr>
        <w:tc>
          <w:tcPr>
            <w:tcW w:w="711" w:type="dxa"/>
            <w:vMerge/>
            <w:vAlign w:val="center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0" w:type="dxa"/>
            <w:vMerge/>
            <w:vAlign w:val="center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vAlign w:val="center"/>
            <w:hideMark/>
          </w:tcPr>
          <w:p w:rsidR="00846DD3" w:rsidRPr="00E418C3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lėšos</w:t>
            </w:r>
            <w:proofErr w:type="spellEnd"/>
          </w:p>
        </w:tc>
        <w:tc>
          <w:tcPr>
            <w:tcW w:w="1040" w:type="dxa"/>
            <w:vAlign w:val="center"/>
            <w:hideMark/>
          </w:tcPr>
          <w:p w:rsidR="00846DD3" w:rsidRPr="00E418C3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iš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jų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ilgalaikis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turtas</w:t>
            </w:r>
            <w:proofErr w:type="spellEnd"/>
          </w:p>
        </w:tc>
        <w:tc>
          <w:tcPr>
            <w:tcW w:w="1820" w:type="dxa"/>
            <w:vMerge/>
            <w:vAlign w:val="center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46DD3" w:rsidRPr="00525525" w:rsidTr="00D3045E">
        <w:trPr>
          <w:trHeight w:val="255"/>
        </w:trPr>
        <w:tc>
          <w:tcPr>
            <w:tcW w:w="711" w:type="dxa"/>
            <w:noWrap/>
            <w:vAlign w:val="center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0" w:type="dxa"/>
            <w:vAlign w:val="center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0" w:type="dxa"/>
            <w:vAlign w:val="center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0" w:type="dxa"/>
            <w:vAlign w:val="center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  <w:vAlign w:val="center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5</w:t>
            </w:r>
          </w:p>
        </w:tc>
      </w:tr>
      <w:tr w:rsidR="00846DD3" w:rsidRPr="00525525" w:rsidTr="00D3045E">
        <w:trPr>
          <w:trHeight w:val="1305"/>
        </w:trPr>
        <w:tc>
          <w:tcPr>
            <w:tcW w:w="711" w:type="dxa"/>
            <w:noWrap/>
            <w:hideMark/>
          </w:tcPr>
          <w:p w:rsidR="00846DD3" w:rsidRPr="00E418C3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8C3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960" w:type="dxa"/>
            <w:hideMark/>
          </w:tcPr>
          <w:p w:rsidR="00846DD3" w:rsidRPr="00E418C3" w:rsidRDefault="00846DD3" w:rsidP="00D3045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Priemonės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kuriomis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kompensuojama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aplinkai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padaryta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žala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kraštovaizdžio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kompleksams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elementams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atkurti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aplinkosaugos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objektams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projektuoti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statyti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rekonstruoti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remontuoti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aplinkos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teršimo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šaltiniams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pašalinti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gamtos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ištekliams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atkurti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gausinti</w:t>
            </w:r>
            <w:proofErr w:type="spellEnd"/>
          </w:p>
        </w:tc>
        <w:tc>
          <w:tcPr>
            <w:tcW w:w="1300" w:type="dxa"/>
            <w:hideMark/>
          </w:tcPr>
          <w:p w:rsidR="00846DD3" w:rsidRPr="00DF7BB0" w:rsidRDefault="00846DD3" w:rsidP="00D304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BB0">
              <w:rPr>
                <w:rFonts w:ascii="Times New Roman" w:hAnsi="Times New Roman" w:cs="Times New Roman"/>
                <w:b/>
              </w:rPr>
              <w:t>1 607 200</w:t>
            </w:r>
          </w:p>
        </w:tc>
        <w:tc>
          <w:tcPr>
            <w:tcW w:w="104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</w:tr>
      <w:tr w:rsidR="00846DD3" w:rsidRPr="00525525" w:rsidTr="00DF7BB0">
        <w:trPr>
          <w:trHeight w:val="810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Kraštovaizdžio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kompleksams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ar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elementams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atkurti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525">
              <w:rPr>
                <w:rFonts w:ascii="Times New Roman" w:hAnsi="Times New Roman" w:cs="Times New Roman"/>
              </w:rPr>
              <w:t>gamtos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ištekliams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atkurti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ir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gausinti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525">
              <w:rPr>
                <w:rFonts w:ascii="Times New Roman" w:hAnsi="Times New Roman" w:cs="Times New Roman"/>
              </w:rPr>
              <w:t>ekologinio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tinklo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"Natura 2000" </w:t>
            </w:r>
            <w:proofErr w:type="spellStart"/>
            <w:r w:rsidRPr="00525525">
              <w:rPr>
                <w:rFonts w:ascii="Times New Roman" w:hAnsi="Times New Roman" w:cs="Times New Roman"/>
              </w:rPr>
              <w:t>teritorijoms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tvarkyti</w:t>
            </w:r>
            <w:proofErr w:type="spellEnd"/>
          </w:p>
        </w:tc>
        <w:tc>
          <w:tcPr>
            <w:tcW w:w="1300" w:type="dxa"/>
            <w:hideMark/>
          </w:tcPr>
          <w:p w:rsidR="00846DD3" w:rsidRPr="00525525" w:rsidRDefault="00846DD3" w:rsidP="005E2832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27</w:t>
            </w:r>
            <w:r w:rsidR="005E2832">
              <w:rPr>
                <w:rFonts w:ascii="Times New Roman" w:hAnsi="Times New Roman" w:cs="Times New Roman"/>
              </w:rPr>
              <w:t>7</w:t>
            </w:r>
            <w:r w:rsidRPr="0052552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VSTT</w:t>
            </w:r>
          </w:p>
        </w:tc>
      </w:tr>
      <w:tr w:rsidR="00846DD3" w:rsidRPr="00525525" w:rsidTr="00DF7BB0">
        <w:trPr>
          <w:trHeight w:val="765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Aplinkai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padarytą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žalą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kompensuoti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aplinkos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teršimo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šaltiniams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pašalinti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525">
              <w:rPr>
                <w:rFonts w:ascii="Times New Roman" w:hAnsi="Times New Roman" w:cs="Times New Roman"/>
              </w:rPr>
              <w:t>ypatingoms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ekologinėms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situacijoms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bei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avarijų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prevencijai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ir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pasekmėms</w:t>
            </w:r>
            <w:proofErr w:type="spellEnd"/>
          </w:p>
        </w:tc>
        <w:tc>
          <w:tcPr>
            <w:tcW w:w="1300" w:type="dxa"/>
            <w:hideMark/>
          </w:tcPr>
          <w:p w:rsidR="00846DD3" w:rsidRPr="00525525" w:rsidRDefault="00846DD3" w:rsidP="005E2832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6</w:t>
            </w:r>
            <w:r w:rsidR="005E2832">
              <w:rPr>
                <w:rFonts w:ascii="Times New Roman" w:hAnsi="Times New Roman" w:cs="Times New Roman"/>
              </w:rPr>
              <w:t>29</w:t>
            </w:r>
            <w:r w:rsidRPr="00525525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040" w:type="dxa"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AM</w:t>
            </w:r>
          </w:p>
        </w:tc>
      </w:tr>
      <w:tr w:rsidR="00846DD3" w:rsidRPr="00525525" w:rsidTr="00DF7BB0">
        <w:trPr>
          <w:trHeight w:val="345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Dotacijos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savivaldybių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projektams</w:t>
            </w:r>
            <w:proofErr w:type="spellEnd"/>
          </w:p>
        </w:tc>
        <w:tc>
          <w:tcPr>
            <w:tcW w:w="130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599 000</w:t>
            </w:r>
          </w:p>
        </w:tc>
        <w:tc>
          <w:tcPr>
            <w:tcW w:w="1040" w:type="dxa"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APVA</w:t>
            </w:r>
          </w:p>
        </w:tc>
      </w:tr>
      <w:tr w:rsidR="00846DD3" w:rsidRPr="00525525" w:rsidTr="00DF7BB0">
        <w:trPr>
          <w:trHeight w:val="795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Druskininkų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savivaldybės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projektas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525525">
              <w:rPr>
                <w:rFonts w:ascii="Times New Roman" w:hAnsi="Times New Roman" w:cs="Times New Roman"/>
              </w:rPr>
              <w:t>Kraujasiurbių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upinių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mašalų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populiacijos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pokyčių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stebėjimas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ir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populiacijos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reguliavimas</w:t>
            </w:r>
            <w:proofErr w:type="spellEnd"/>
            <w:r w:rsidRPr="00525525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30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040" w:type="dxa"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APVA</w:t>
            </w:r>
          </w:p>
        </w:tc>
      </w:tr>
      <w:tr w:rsidR="00846DD3" w:rsidRPr="00525525" w:rsidTr="00DF7BB0">
        <w:trPr>
          <w:trHeight w:val="840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Klaipėdos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miesto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savivaldybės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projektas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525525">
              <w:rPr>
                <w:rFonts w:ascii="Times New Roman" w:hAnsi="Times New Roman" w:cs="Times New Roman"/>
              </w:rPr>
              <w:t>Aplinkos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pritaikymo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ir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aplinkosaugos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priemonių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įgyvendinimas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Baltijos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jūros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paplūdymių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zonoje</w:t>
            </w:r>
            <w:proofErr w:type="spellEnd"/>
            <w:r w:rsidRPr="0052552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0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040" w:type="dxa"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APVA</w:t>
            </w:r>
          </w:p>
        </w:tc>
      </w:tr>
      <w:tr w:rsidR="00846DD3" w:rsidRPr="00525525" w:rsidTr="00DF7BB0">
        <w:trPr>
          <w:trHeight w:val="315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Dotacijų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projektų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administravimo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išlaidos</w:t>
            </w:r>
            <w:proofErr w:type="spellEnd"/>
          </w:p>
        </w:tc>
        <w:tc>
          <w:tcPr>
            <w:tcW w:w="130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32 000</w:t>
            </w:r>
          </w:p>
        </w:tc>
        <w:tc>
          <w:tcPr>
            <w:tcW w:w="1040" w:type="dxa"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APVA</w:t>
            </w:r>
          </w:p>
        </w:tc>
      </w:tr>
      <w:tr w:rsidR="00846DD3" w:rsidRPr="00525525" w:rsidTr="00DF7BB0">
        <w:trPr>
          <w:trHeight w:val="360"/>
        </w:trPr>
        <w:tc>
          <w:tcPr>
            <w:tcW w:w="711" w:type="dxa"/>
            <w:noWrap/>
            <w:hideMark/>
          </w:tcPr>
          <w:p w:rsidR="00846DD3" w:rsidRPr="00E418C3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8C3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960" w:type="dxa"/>
            <w:hideMark/>
          </w:tcPr>
          <w:p w:rsidR="00846DD3" w:rsidRPr="00E418C3" w:rsidRDefault="00846DD3" w:rsidP="00D3045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Žuvų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ištekliams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atkurti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saugoti</w:t>
            </w:r>
            <w:proofErr w:type="spellEnd"/>
          </w:p>
        </w:tc>
        <w:tc>
          <w:tcPr>
            <w:tcW w:w="130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</w:tr>
      <w:tr w:rsidR="00846DD3" w:rsidRPr="00525525" w:rsidTr="00DF7BB0">
        <w:trPr>
          <w:trHeight w:val="2595"/>
        </w:trPr>
        <w:tc>
          <w:tcPr>
            <w:tcW w:w="711" w:type="dxa"/>
            <w:noWrap/>
            <w:hideMark/>
          </w:tcPr>
          <w:p w:rsidR="00846DD3" w:rsidRPr="00E418C3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8C3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4960" w:type="dxa"/>
            <w:hideMark/>
          </w:tcPr>
          <w:p w:rsidR="00846DD3" w:rsidRPr="00E418C3" w:rsidRDefault="00846DD3" w:rsidP="00D3045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Medžiojamųjų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gyvūnų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išteklių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apsaugos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gausinimo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priemonėms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medžioklėtvarkos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projektams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rengti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medžiojamųjų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gyvūnų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medžioklės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moksliniams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tyrimams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medžiojamųjų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gyvūnų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saugomų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pagal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ES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teisės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aktų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reikalavimus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priemonėms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prieš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brakonieriavimą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Medžioklės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plėtrai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skatinti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medžioklės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kultūrai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tradicijoms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puoselėti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Griežtai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saugomų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rūšių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laukinių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gyvūnų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medžiojamųjų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gyvūnų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kurių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medžioklė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uždrausta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ištisus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metus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padarytai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žalai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kompensuoti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žalos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prevencijai</w:t>
            </w:r>
            <w:proofErr w:type="spellEnd"/>
          </w:p>
        </w:tc>
        <w:tc>
          <w:tcPr>
            <w:tcW w:w="1300" w:type="dxa"/>
            <w:hideMark/>
          </w:tcPr>
          <w:p w:rsidR="00846DD3" w:rsidRPr="00DF7BB0" w:rsidRDefault="00846DD3" w:rsidP="00D304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BB0">
              <w:rPr>
                <w:rFonts w:ascii="Times New Roman" w:hAnsi="Times New Roman" w:cs="Times New Roman"/>
                <w:b/>
              </w:rPr>
              <w:t>300 000</w:t>
            </w:r>
          </w:p>
        </w:tc>
        <w:tc>
          <w:tcPr>
            <w:tcW w:w="1040" w:type="dxa"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</w:tr>
      <w:tr w:rsidR="00846DD3" w:rsidRPr="00525525" w:rsidTr="00DF7BB0">
        <w:trPr>
          <w:trHeight w:val="1260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Medžiojamųjų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gyvūnų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ištekliams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apsaugoti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525">
              <w:rPr>
                <w:rFonts w:ascii="Times New Roman" w:hAnsi="Times New Roman" w:cs="Times New Roman"/>
              </w:rPr>
              <w:t>gausinti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ir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moksliniams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tyrimams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525">
              <w:rPr>
                <w:rFonts w:ascii="Times New Roman" w:hAnsi="Times New Roman" w:cs="Times New Roman"/>
              </w:rPr>
              <w:t>medžiojamųjų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gyvūnų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525">
              <w:rPr>
                <w:rFonts w:ascii="Times New Roman" w:hAnsi="Times New Roman" w:cs="Times New Roman"/>
              </w:rPr>
              <w:t>saugomų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pagal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525525">
              <w:rPr>
                <w:rFonts w:ascii="Times New Roman" w:hAnsi="Times New Roman" w:cs="Times New Roman"/>
              </w:rPr>
              <w:t>teisės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aktų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525">
              <w:rPr>
                <w:rFonts w:ascii="Times New Roman" w:hAnsi="Times New Roman" w:cs="Times New Roman"/>
              </w:rPr>
              <w:t>monitoringui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priemonėms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medžioklės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plėtrai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skatinti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525">
              <w:rPr>
                <w:rFonts w:ascii="Times New Roman" w:hAnsi="Times New Roman" w:cs="Times New Roman"/>
              </w:rPr>
              <w:t>medžioklės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kultūrai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ir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tradicijoms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puoselėti</w:t>
            </w:r>
            <w:proofErr w:type="spellEnd"/>
          </w:p>
        </w:tc>
        <w:tc>
          <w:tcPr>
            <w:tcW w:w="130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040" w:type="dxa"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AM</w:t>
            </w:r>
          </w:p>
        </w:tc>
      </w:tr>
      <w:tr w:rsidR="00846DD3" w:rsidRPr="00525525" w:rsidTr="00D3045E">
        <w:trPr>
          <w:trHeight w:val="240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60" w:type="dxa"/>
            <w:hideMark/>
          </w:tcPr>
          <w:p w:rsidR="00846DD3" w:rsidRPr="00E418C3" w:rsidRDefault="00846DD3" w:rsidP="00D3045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Iš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viso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4-8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finansavimo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kryptims</w:t>
            </w:r>
            <w:proofErr w:type="spellEnd"/>
          </w:p>
        </w:tc>
        <w:tc>
          <w:tcPr>
            <w:tcW w:w="1300" w:type="dxa"/>
            <w:hideMark/>
          </w:tcPr>
          <w:p w:rsidR="00846DD3" w:rsidRPr="00DF7BB0" w:rsidRDefault="00846DD3" w:rsidP="00D304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BB0">
              <w:rPr>
                <w:rFonts w:ascii="Times New Roman" w:hAnsi="Times New Roman" w:cs="Times New Roman"/>
                <w:b/>
              </w:rPr>
              <w:t>518 800</w:t>
            </w:r>
          </w:p>
        </w:tc>
        <w:tc>
          <w:tcPr>
            <w:tcW w:w="104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</w:tr>
      <w:tr w:rsidR="00846DD3" w:rsidRPr="00525525" w:rsidTr="00DF7BB0">
        <w:trPr>
          <w:trHeight w:val="750"/>
        </w:trPr>
        <w:tc>
          <w:tcPr>
            <w:tcW w:w="711" w:type="dxa"/>
            <w:noWrap/>
            <w:hideMark/>
          </w:tcPr>
          <w:p w:rsidR="00846DD3" w:rsidRPr="00E418C3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8C3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960" w:type="dxa"/>
            <w:hideMark/>
          </w:tcPr>
          <w:p w:rsidR="00846DD3" w:rsidRPr="00E418C3" w:rsidRDefault="00846DD3" w:rsidP="00D3045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Aplinkos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apsaugos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gamtos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išteklių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naudojimo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jų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gausinimo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programoms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schemoms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planams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rengti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moksliniams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taikomiesiems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darbams</w:t>
            </w:r>
            <w:proofErr w:type="spellEnd"/>
          </w:p>
        </w:tc>
        <w:tc>
          <w:tcPr>
            <w:tcW w:w="130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noWrap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</w:tr>
      <w:tr w:rsidR="00846DD3" w:rsidRPr="00525525" w:rsidTr="00DF7BB0">
        <w:trPr>
          <w:trHeight w:val="525"/>
        </w:trPr>
        <w:tc>
          <w:tcPr>
            <w:tcW w:w="711" w:type="dxa"/>
            <w:noWrap/>
            <w:hideMark/>
          </w:tcPr>
          <w:p w:rsidR="00846DD3" w:rsidRPr="00E418C3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8C3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960" w:type="dxa"/>
            <w:hideMark/>
          </w:tcPr>
          <w:p w:rsidR="00846DD3" w:rsidRPr="00E418C3" w:rsidRDefault="00846DD3" w:rsidP="00D3045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Moksliniams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taikomiesiems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darbams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aplinkos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monitoringui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poveikio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aplinkai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vertinimo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priemonėms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0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140 800</w:t>
            </w:r>
          </w:p>
        </w:tc>
        <w:tc>
          <w:tcPr>
            <w:tcW w:w="1040" w:type="dxa"/>
            <w:noWrap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</w:tr>
      <w:tr w:rsidR="00846DD3" w:rsidRPr="00525525" w:rsidTr="00D3045E">
        <w:trPr>
          <w:trHeight w:val="855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Arseno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kilmės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požeminiame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vandenyje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tyrimas</w:t>
            </w:r>
            <w:proofErr w:type="spellEnd"/>
          </w:p>
        </w:tc>
        <w:tc>
          <w:tcPr>
            <w:tcW w:w="130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04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Lietuvos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geologijos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tarnyba</w:t>
            </w:r>
            <w:proofErr w:type="spellEnd"/>
          </w:p>
        </w:tc>
      </w:tr>
      <w:tr w:rsidR="00846DD3" w:rsidRPr="00525525" w:rsidTr="00D3045E">
        <w:trPr>
          <w:trHeight w:val="750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Metalų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koncentracijų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tyrimas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požeminiame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vandenyje</w:t>
            </w:r>
            <w:proofErr w:type="spellEnd"/>
          </w:p>
        </w:tc>
        <w:tc>
          <w:tcPr>
            <w:tcW w:w="130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16 800</w:t>
            </w:r>
          </w:p>
        </w:tc>
        <w:tc>
          <w:tcPr>
            <w:tcW w:w="104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Lietuvos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geologijos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tarnyba</w:t>
            </w:r>
            <w:proofErr w:type="spellEnd"/>
          </w:p>
        </w:tc>
      </w:tr>
      <w:tr w:rsidR="00846DD3" w:rsidRPr="00525525" w:rsidTr="00D3045E">
        <w:trPr>
          <w:trHeight w:val="585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Europos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Bendrijos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svarbos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žemyninės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dalies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natūralių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buveinių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ir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augalų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rūšių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monitringas</w:t>
            </w:r>
            <w:proofErr w:type="spellEnd"/>
          </w:p>
        </w:tc>
        <w:tc>
          <w:tcPr>
            <w:tcW w:w="130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18 000</w:t>
            </w:r>
          </w:p>
        </w:tc>
        <w:tc>
          <w:tcPr>
            <w:tcW w:w="104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VSTT</w:t>
            </w:r>
          </w:p>
        </w:tc>
      </w:tr>
      <w:tr w:rsidR="00846DD3" w:rsidRPr="00525525" w:rsidTr="00D3045E">
        <w:trPr>
          <w:trHeight w:val="510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Naujų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genetinės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modifikacijos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metodų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ar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būdų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analizė</w:t>
            </w:r>
            <w:proofErr w:type="spellEnd"/>
          </w:p>
        </w:tc>
        <w:tc>
          <w:tcPr>
            <w:tcW w:w="130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04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AM</w:t>
            </w:r>
          </w:p>
        </w:tc>
      </w:tr>
      <w:tr w:rsidR="00846DD3" w:rsidRPr="00525525" w:rsidTr="00D3045E">
        <w:trPr>
          <w:trHeight w:val="1005"/>
        </w:trPr>
        <w:tc>
          <w:tcPr>
            <w:tcW w:w="711" w:type="dxa"/>
            <w:noWrap/>
            <w:hideMark/>
          </w:tcPr>
          <w:p w:rsidR="00846DD3" w:rsidRPr="00E418C3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8C3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960" w:type="dxa"/>
            <w:hideMark/>
          </w:tcPr>
          <w:p w:rsidR="00846DD3" w:rsidRPr="00E418C3" w:rsidRDefault="00846DD3" w:rsidP="00E418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Valstybinėms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aplinkos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apsaugos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įstaigoms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organizacijoms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aprūpinti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prietaisais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įrenginiais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medžiagomis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kitomis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materialinėmis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priemonėmis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jų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aplinkosaugos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veiklai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vykdyti</w:t>
            </w:r>
            <w:proofErr w:type="spellEnd"/>
          </w:p>
        </w:tc>
        <w:tc>
          <w:tcPr>
            <w:tcW w:w="130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315 000</w:t>
            </w:r>
          </w:p>
        </w:tc>
        <w:tc>
          <w:tcPr>
            <w:tcW w:w="104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</w:tr>
      <w:tr w:rsidR="00846DD3" w:rsidRPr="00525525" w:rsidTr="00D3045E">
        <w:trPr>
          <w:trHeight w:val="690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Zoologijos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sodo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gyvūnų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pašarams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04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Lietuvos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zoologijos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sodas</w:t>
            </w:r>
          </w:p>
        </w:tc>
      </w:tr>
      <w:tr w:rsidR="00846DD3" w:rsidRPr="00525525" w:rsidTr="00D3045E">
        <w:trPr>
          <w:trHeight w:val="795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Centralizuotam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informacinių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technologijų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paslaugų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teikimui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Aplinkos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ministerijai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ir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jai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pavaldžioms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in</w:t>
            </w:r>
            <w:r w:rsidR="00124F3B">
              <w:rPr>
                <w:rFonts w:ascii="Times New Roman" w:hAnsi="Times New Roman" w:cs="Times New Roman"/>
              </w:rPr>
              <w:t>s</w:t>
            </w:r>
            <w:r w:rsidRPr="00525525">
              <w:rPr>
                <w:rFonts w:ascii="Times New Roman" w:hAnsi="Times New Roman" w:cs="Times New Roman"/>
              </w:rPr>
              <w:t>titucijoms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Aplinkos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ministerijos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duomenų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centrą</w:t>
            </w:r>
            <w:proofErr w:type="spellEnd"/>
          </w:p>
        </w:tc>
        <w:tc>
          <w:tcPr>
            <w:tcW w:w="130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04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AM</w:t>
            </w:r>
          </w:p>
        </w:tc>
      </w:tr>
      <w:tr w:rsidR="00846DD3" w:rsidRPr="00525525" w:rsidTr="00D3045E">
        <w:trPr>
          <w:trHeight w:val="750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specifikacijos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ir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duomenų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saugos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nuostatų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parengimas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projektui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525525">
              <w:rPr>
                <w:rFonts w:ascii="Times New Roman" w:hAnsi="Times New Roman" w:cs="Times New Roman"/>
              </w:rPr>
              <w:t>Biologinės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įvairovės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informacinė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platforma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130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37 000</w:t>
            </w:r>
          </w:p>
        </w:tc>
        <w:tc>
          <w:tcPr>
            <w:tcW w:w="104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AM</w:t>
            </w:r>
          </w:p>
        </w:tc>
      </w:tr>
      <w:tr w:rsidR="00846DD3" w:rsidRPr="00525525" w:rsidTr="00D3045E">
        <w:trPr>
          <w:trHeight w:val="1095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lastRenderedPageBreak/>
              <w:t>6.4.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Žiedų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paukščių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ženklinimui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25525">
              <w:rPr>
                <w:rFonts w:ascii="Times New Roman" w:hAnsi="Times New Roman" w:cs="Times New Roman"/>
              </w:rPr>
              <w:t>žiedavimui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pirkimas</w:t>
            </w:r>
            <w:proofErr w:type="spellEnd"/>
          </w:p>
        </w:tc>
        <w:tc>
          <w:tcPr>
            <w:tcW w:w="130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104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Kauno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Tado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Ivanausko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zoologijos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muziejus</w:t>
            </w:r>
            <w:proofErr w:type="spellEnd"/>
          </w:p>
        </w:tc>
      </w:tr>
      <w:tr w:rsidR="00846DD3" w:rsidRPr="00525525" w:rsidTr="00D3045E">
        <w:trPr>
          <w:trHeight w:val="660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 xml:space="preserve">Kuro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išlaidos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aplinkos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apsaugos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valstybinei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kontrolei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reikalingų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laboratorinių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tyrimų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vykdymui</w:t>
            </w:r>
            <w:proofErr w:type="spellEnd"/>
          </w:p>
        </w:tc>
        <w:tc>
          <w:tcPr>
            <w:tcW w:w="130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70 000</w:t>
            </w:r>
          </w:p>
        </w:tc>
        <w:tc>
          <w:tcPr>
            <w:tcW w:w="104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AAA</w:t>
            </w:r>
          </w:p>
        </w:tc>
      </w:tr>
      <w:tr w:rsidR="00846DD3" w:rsidRPr="00525525" w:rsidTr="00DF7BB0">
        <w:trPr>
          <w:trHeight w:val="1350"/>
        </w:trPr>
        <w:tc>
          <w:tcPr>
            <w:tcW w:w="711" w:type="dxa"/>
            <w:noWrap/>
            <w:hideMark/>
          </w:tcPr>
          <w:p w:rsidR="00846DD3" w:rsidRPr="00E418C3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8C3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960" w:type="dxa"/>
            <w:hideMark/>
          </w:tcPr>
          <w:p w:rsidR="00846DD3" w:rsidRPr="00E418C3" w:rsidRDefault="00846DD3" w:rsidP="00D3045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Švietimui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mokymui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specialistų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kvalifikacijai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kelti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aplinkosaugos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srityje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aplinkosaugos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informacijai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skleisti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aplinkos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apsaugos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renginiams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konkursams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organizuoti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leidybai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aplinkosaugos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srityje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tarptautiniams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projektams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sutartims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aplinkosaugos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srityje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įgyvendinti</w:t>
            </w:r>
            <w:proofErr w:type="spellEnd"/>
          </w:p>
        </w:tc>
        <w:tc>
          <w:tcPr>
            <w:tcW w:w="130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040" w:type="dxa"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AM</w:t>
            </w:r>
          </w:p>
        </w:tc>
      </w:tr>
      <w:tr w:rsidR="00846DD3" w:rsidRPr="00525525" w:rsidTr="00DF7BB0">
        <w:trPr>
          <w:trHeight w:val="555"/>
        </w:trPr>
        <w:tc>
          <w:tcPr>
            <w:tcW w:w="711" w:type="dxa"/>
            <w:noWrap/>
            <w:hideMark/>
          </w:tcPr>
          <w:p w:rsidR="00846DD3" w:rsidRPr="00E418C3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8C3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4960" w:type="dxa"/>
            <w:hideMark/>
          </w:tcPr>
          <w:p w:rsidR="00846DD3" w:rsidRPr="00E418C3" w:rsidRDefault="00846DD3" w:rsidP="00D3045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Vardinėms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premijoms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skirti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asmenims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už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nuopelnus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aplinkosaugos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srityje</w:t>
            </w:r>
            <w:proofErr w:type="spellEnd"/>
          </w:p>
        </w:tc>
        <w:tc>
          <w:tcPr>
            <w:tcW w:w="130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040" w:type="dxa"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AM</w:t>
            </w:r>
          </w:p>
        </w:tc>
      </w:tr>
      <w:tr w:rsidR="00846DD3" w:rsidRPr="00525525" w:rsidTr="00DF7BB0">
        <w:trPr>
          <w:trHeight w:val="1020"/>
        </w:trPr>
        <w:tc>
          <w:tcPr>
            <w:tcW w:w="711" w:type="dxa"/>
            <w:noWrap/>
            <w:hideMark/>
          </w:tcPr>
          <w:p w:rsidR="00846DD3" w:rsidRPr="00E418C3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8C3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4960" w:type="dxa"/>
            <w:hideMark/>
          </w:tcPr>
          <w:p w:rsidR="00846DD3" w:rsidRPr="00E418C3" w:rsidRDefault="00846DD3" w:rsidP="00D3045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Neetatiniams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aplinkos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apsaugos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inspektoriams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skatinti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atliekamiems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aplinkos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apsaugos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gamtos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išteklių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naudojimo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kontrolės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darbams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bei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rengiamoms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programoms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įgyvendinti</w:t>
            </w:r>
            <w:proofErr w:type="spellEnd"/>
          </w:p>
        </w:tc>
        <w:tc>
          <w:tcPr>
            <w:tcW w:w="1300" w:type="dxa"/>
            <w:hideMark/>
          </w:tcPr>
          <w:p w:rsidR="00846DD3" w:rsidRPr="00DF7BB0" w:rsidRDefault="00846DD3" w:rsidP="00D304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BB0">
              <w:rPr>
                <w:rFonts w:ascii="Times New Roman" w:hAnsi="Times New Roman" w:cs="Times New Roman"/>
                <w:b/>
              </w:rPr>
              <w:t>10 000</w:t>
            </w:r>
          </w:p>
        </w:tc>
        <w:tc>
          <w:tcPr>
            <w:tcW w:w="1040" w:type="dxa"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AAD</w:t>
            </w:r>
          </w:p>
        </w:tc>
      </w:tr>
      <w:tr w:rsidR="00846DD3" w:rsidRPr="00525525" w:rsidTr="00DF7BB0">
        <w:trPr>
          <w:trHeight w:val="4140"/>
        </w:trPr>
        <w:tc>
          <w:tcPr>
            <w:tcW w:w="711" w:type="dxa"/>
            <w:noWrap/>
            <w:hideMark/>
          </w:tcPr>
          <w:p w:rsidR="00846DD3" w:rsidRPr="00E418C3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8C3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4960" w:type="dxa"/>
            <w:hideMark/>
          </w:tcPr>
          <w:p w:rsidR="00846DD3" w:rsidRPr="00E418C3" w:rsidRDefault="00846DD3" w:rsidP="00D3045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Savavališkai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pastatytiems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savavališkai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statomiems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statiniams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statiniams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pastatytiems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statomiems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pagal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neteisėtai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išduotus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statybą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leidžiančius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dokumentus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nugriauti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savavališkai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pagal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neteisėtai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išduotus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statybą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leidžiančius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dokumentus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perstatytoms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pertvarkytoms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statinio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dalims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išardyti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nugriautam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kultūros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paveldo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statiniui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(jo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daliai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atstatyti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pagal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teismo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sprendimą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savavališkų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statybų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prevencijai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statinių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ekspertizėms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atlikti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tais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atvejais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kai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šias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ekspertizes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būtina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atlikti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dėl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statinių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avarijų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prevencijos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pareiškiant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ieškinius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teismams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teritorijų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planavimo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valstybinės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priežiūros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statybos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valstybinės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priežiūros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srityse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švietimui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leidybai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specialistų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mokymui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jų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kvalifikacijai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kelti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statybos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valstybinę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priežiūrą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atliekantiems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specialistams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aprūpinti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prietaisais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įrenginiais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medžiagomis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kitomis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materialinėmis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priemonėmis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jų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veiklai</w:t>
            </w:r>
            <w:proofErr w:type="spellEnd"/>
            <w:r w:rsidRPr="00E4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8C3">
              <w:rPr>
                <w:rFonts w:ascii="Times New Roman" w:hAnsi="Times New Roman" w:cs="Times New Roman"/>
                <w:b/>
                <w:bCs/>
              </w:rPr>
              <w:t>vykdyti</w:t>
            </w:r>
            <w:proofErr w:type="spellEnd"/>
          </w:p>
        </w:tc>
        <w:tc>
          <w:tcPr>
            <w:tcW w:w="1300" w:type="dxa"/>
            <w:hideMark/>
          </w:tcPr>
          <w:p w:rsidR="00846DD3" w:rsidRPr="00DF7BB0" w:rsidRDefault="00846DD3" w:rsidP="00D304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BB0">
              <w:rPr>
                <w:rFonts w:ascii="Times New Roman" w:hAnsi="Times New Roman" w:cs="Times New Roman"/>
                <w:b/>
              </w:rPr>
              <w:t>50 000</w:t>
            </w:r>
          </w:p>
        </w:tc>
        <w:tc>
          <w:tcPr>
            <w:tcW w:w="1040" w:type="dxa"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</w:tr>
      <w:tr w:rsidR="00846DD3" w:rsidRPr="00525525" w:rsidTr="00D3045E">
        <w:trPr>
          <w:trHeight w:val="1305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525525">
              <w:rPr>
                <w:rFonts w:ascii="Times New Roman" w:hAnsi="Times New Roman" w:cs="Times New Roman"/>
              </w:rPr>
              <w:t>Savavališkai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pastatytiems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ar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savavališkai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statomiems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statiniams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nugriauti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525">
              <w:rPr>
                <w:rFonts w:ascii="Times New Roman" w:hAnsi="Times New Roman" w:cs="Times New Roman"/>
              </w:rPr>
              <w:t>specialistams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aprūpinti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prietaisais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525">
              <w:rPr>
                <w:rFonts w:ascii="Times New Roman" w:hAnsi="Times New Roman" w:cs="Times New Roman"/>
              </w:rPr>
              <w:t>įrenginiais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525">
              <w:rPr>
                <w:rFonts w:ascii="Times New Roman" w:hAnsi="Times New Roman" w:cs="Times New Roman"/>
              </w:rPr>
              <w:t>medžiagomis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ir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kitomis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materialinėmis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priemonėmis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jų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veiklai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statybos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valstybinės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priežiūros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srityje</w:t>
            </w:r>
            <w:proofErr w:type="spellEnd"/>
            <w:r w:rsidRPr="00525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</w:rPr>
              <w:t>vykdyti</w:t>
            </w:r>
            <w:proofErr w:type="spellEnd"/>
          </w:p>
        </w:tc>
        <w:tc>
          <w:tcPr>
            <w:tcW w:w="130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04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VTPSI</w:t>
            </w:r>
          </w:p>
        </w:tc>
      </w:tr>
      <w:tr w:rsidR="00846DD3" w:rsidRPr="00525525" w:rsidTr="00D3045E">
        <w:trPr>
          <w:trHeight w:val="375"/>
        </w:trPr>
        <w:tc>
          <w:tcPr>
            <w:tcW w:w="711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  <w:r w:rsidRPr="005255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60" w:type="dxa"/>
            <w:hideMark/>
          </w:tcPr>
          <w:p w:rsidR="00846DD3" w:rsidRPr="00525525" w:rsidRDefault="00846DD3" w:rsidP="00D3045E">
            <w:pPr>
              <w:jc w:val="right"/>
              <w:rPr>
                <w:rFonts w:ascii="Times New Roman" w:hAnsi="Times New Roman" w:cs="Times New Roman"/>
                <w:bCs/>
              </w:rPr>
            </w:pPr>
            <w:proofErr w:type="spellStart"/>
            <w:r w:rsidRPr="00525525">
              <w:rPr>
                <w:rFonts w:ascii="Times New Roman" w:hAnsi="Times New Roman" w:cs="Times New Roman"/>
                <w:bCs/>
              </w:rPr>
              <w:t>Iš</w:t>
            </w:r>
            <w:proofErr w:type="spellEnd"/>
            <w:r w:rsidRPr="0052552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25525">
              <w:rPr>
                <w:rFonts w:ascii="Times New Roman" w:hAnsi="Times New Roman" w:cs="Times New Roman"/>
                <w:bCs/>
              </w:rPr>
              <w:t>viso</w:t>
            </w:r>
            <w:proofErr w:type="spellEnd"/>
          </w:p>
        </w:tc>
        <w:tc>
          <w:tcPr>
            <w:tcW w:w="1300" w:type="dxa"/>
            <w:hideMark/>
          </w:tcPr>
          <w:p w:rsidR="00846DD3" w:rsidRPr="00DF7BB0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BB0">
              <w:rPr>
                <w:rFonts w:ascii="Times New Roman" w:hAnsi="Times New Roman" w:cs="Times New Roman"/>
                <w:b/>
                <w:bCs/>
              </w:rPr>
              <w:t>2 486 000</w:t>
            </w:r>
          </w:p>
        </w:tc>
        <w:tc>
          <w:tcPr>
            <w:tcW w:w="1040" w:type="dxa"/>
            <w:hideMark/>
          </w:tcPr>
          <w:p w:rsidR="00846DD3" w:rsidRPr="00DF7BB0" w:rsidRDefault="00846DD3" w:rsidP="00D304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BB0">
              <w:rPr>
                <w:rFonts w:ascii="Times New Roman" w:hAnsi="Times New Roman" w:cs="Times New Roman"/>
                <w:b/>
                <w:bCs/>
              </w:rPr>
              <w:t>25 000</w:t>
            </w:r>
          </w:p>
        </w:tc>
        <w:tc>
          <w:tcPr>
            <w:tcW w:w="1820" w:type="dxa"/>
            <w:noWrap/>
            <w:hideMark/>
          </w:tcPr>
          <w:p w:rsidR="00846DD3" w:rsidRPr="00525525" w:rsidRDefault="00846DD3" w:rsidP="00D304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6DD3" w:rsidRPr="00525525" w:rsidRDefault="00846DD3" w:rsidP="001C3D95">
      <w:pPr>
        <w:jc w:val="center"/>
        <w:rPr>
          <w:rFonts w:ascii="Times New Roman" w:hAnsi="Times New Roman" w:cs="Times New Roman"/>
        </w:rPr>
      </w:pPr>
      <w:bookmarkStart w:id="2" w:name="_GoBack"/>
      <w:bookmarkEnd w:id="2"/>
    </w:p>
    <w:sectPr w:rsidR="00846DD3" w:rsidRPr="00525525" w:rsidSect="0036057E">
      <w:footnotePr>
        <w:pos w:val="beneathText"/>
      </w:footnotePr>
      <w:pgSz w:w="11905" w:h="16837"/>
      <w:pgMar w:top="152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17" w:rsidRDefault="00AC5D17" w:rsidP="0036057E">
      <w:r>
        <w:separator/>
      </w:r>
    </w:p>
  </w:endnote>
  <w:endnote w:type="continuationSeparator" w:id="0">
    <w:p w:rsidR="00AC5D17" w:rsidRDefault="00AC5D17" w:rsidP="0036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orndale">
    <w:altName w:val="Times New Roman"/>
    <w:charset w:val="BA"/>
    <w:family w:val="roman"/>
    <w:pitch w:val="variable"/>
  </w:font>
  <w:font w:name="Andale Sans UI">
    <w:altName w:val="Arial"/>
    <w:charset w:val="BA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17" w:rsidRDefault="00AC5D17" w:rsidP="0036057E">
      <w:r>
        <w:separator/>
      </w:r>
    </w:p>
  </w:footnote>
  <w:footnote w:type="continuationSeparator" w:id="0">
    <w:p w:rsidR="00AC5D17" w:rsidRDefault="00AC5D17" w:rsidP="00360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E5B"/>
    <w:multiLevelType w:val="hybridMultilevel"/>
    <w:tmpl w:val="7058818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DE645E5"/>
    <w:multiLevelType w:val="hybridMultilevel"/>
    <w:tmpl w:val="38DE2F84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F0931"/>
    <w:multiLevelType w:val="multilevel"/>
    <w:tmpl w:val="9566CE5E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3">
    <w:nsid w:val="5E0D7344"/>
    <w:multiLevelType w:val="hybridMultilevel"/>
    <w:tmpl w:val="804086E0"/>
    <w:lvl w:ilvl="0" w:tplc="C3A8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F351C2"/>
    <w:multiLevelType w:val="hybridMultilevel"/>
    <w:tmpl w:val="84A2B47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1"/>
    <w:rsid w:val="000155F4"/>
    <w:rsid w:val="0003036C"/>
    <w:rsid w:val="000362AD"/>
    <w:rsid w:val="00047DBD"/>
    <w:rsid w:val="000561B3"/>
    <w:rsid w:val="00060246"/>
    <w:rsid w:val="000821FD"/>
    <w:rsid w:val="00090427"/>
    <w:rsid w:val="000B040F"/>
    <w:rsid w:val="000B0ABE"/>
    <w:rsid w:val="00111E8D"/>
    <w:rsid w:val="00124F3B"/>
    <w:rsid w:val="00167822"/>
    <w:rsid w:val="001C3D95"/>
    <w:rsid w:val="001E0DF1"/>
    <w:rsid w:val="00204734"/>
    <w:rsid w:val="00222D67"/>
    <w:rsid w:val="00243801"/>
    <w:rsid w:val="00264872"/>
    <w:rsid w:val="002B31A7"/>
    <w:rsid w:val="002C0EF9"/>
    <w:rsid w:val="002C3012"/>
    <w:rsid w:val="0032592F"/>
    <w:rsid w:val="00343355"/>
    <w:rsid w:val="00350336"/>
    <w:rsid w:val="00350CA9"/>
    <w:rsid w:val="00355893"/>
    <w:rsid w:val="0036057E"/>
    <w:rsid w:val="00371747"/>
    <w:rsid w:val="003719AD"/>
    <w:rsid w:val="003956EB"/>
    <w:rsid w:val="003A6F60"/>
    <w:rsid w:val="003B6F28"/>
    <w:rsid w:val="00401CAD"/>
    <w:rsid w:val="00444005"/>
    <w:rsid w:val="004454B5"/>
    <w:rsid w:val="004A0708"/>
    <w:rsid w:val="0053534D"/>
    <w:rsid w:val="0053577C"/>
    <w:rsid w:val="0055350B"/>
    <w:rsid w:val="00582623"/>
    <w:rsid w:val="005855C8"/>
    <w:rsid w:val="00595542"/>
    <w:rsid w:val="005B44AE"/>
    <w:rsid w:val="005E2832"/>
    <w:rsid w:val="00615BCA"/>
    <w:rsid w:val="00675CDB"/>
    <w:rsid w:val="00684FA4"/>
    <w:rsid w:val="006A060E"/>
    <w:rsid w:val="006B66BA"/>
    <w:rsid w:val="006C7F40"/>
    <w:rsid w:val="006F0D2E"/>
    <w:rsid w:val="00711EDD"/>
    <w:rsid w:val="00712E68"/>
    <w:rsid w:val="007135F8"/>
    <w:rsid w:val="00745462"/>
    <w:rsid w:val="007F6C0C"/>
    <w:rsid w:val="00846DD3"/>
    <w:rsid w:val="00890832"/>
    <w:rsid w:val="008A43A8"/>
    <w:rsid w:val="008A4C31"/>
    <w:rsid w:val="008B3DCC"/>
    <w:rsid w:val="00977619"/>
    <w:rsid w:val="00981A40"/>
    <w:rsid w:val="00A11412"/>
    <w:rsid w:val="00A24902"/>
    <w:rsid w:val="00A42F78"/>
    <w:rsid w:val="00A60206"/>
    <w:rsid w:val="00A60E00"/>
    <w:rsid w:val="00A65874"/>
    <w:rsid w:val="00AC208A"/>
    <w:rsid w:val="00AC41CA"/>
    <w:rsid w:val="00AC5D17"/>
    <w:rsid w:val="00AD153D"/>
    <w:rsid w:val="00AD1D0A"/>
    <w:rsid w:val="00AE3521"/>
    <w:rsid w:val="00B1572C"/>
    <w:rsid w:val="00B21D5C"/>
    <w:rsid w:val="00B463F4"/>
    <w:rsid w:val="00B47035"/>
    <w:rsid w:val="00B639A8"/>
    <w:rsid w:val="00CF55E6"/>
    <w:rsid w:val="00CF712B"/>
    <w:rsid w:val="00D1213D"/>
    <w:rsid w:val="00D54F73"/>
    <w:rsid w:val="00D75B72"/>
    <w:rsid w:val="00D82048"/>
    <w:rsid w:val="00DB159A"/>
    <w:rsid w:val="00DB4526"/>
    <w:rsid w:val="00DF6F82"/>
    <w:rsid w:val="00DF7BB0"/>
    <w:rsid w:val="00E11EC0"/>
    <w:rsid w:val="00E15B7B"/>
    <w:rsid w:val="00E16762"/>
    <w:rsid w:val="00E20658"/>
    <w:rsid w:val="00E22C1A"/>
    <w:rsid w:val="00E418C3"/>
    <w:rsid w:val="00E54CB6"/>
    <w:rsid w:val="00E56692"/>
    <w:rsid w:val="00EA691D"/>
    <w:rsid w:val="00EC1923"/>
    <w:rsid w:val="00EF2C07"/>
    <w:rsid w:val="00F0654E"/>
    <w:rsid w:val="00F54248"/>
    <w:rsid w:val="00FB12CD"/>
    <w:rsid w:val="00FB1749"/>
    <w:rsid w:val="00FC4C46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08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lt-LT" w:bidi="ar-SA"/>
    </w:rPr>
  </w:style>
  <w:style w:type="paragraph" w:styleId="Header">
    <w:name w:val="header"/>
    <w:basedOn w:val="Normal"/>
    <w:link w:val="Head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table" w:styleId="TableGrid">
    <w:name w:val="Table Grid"/>
    <w:basedOn w:val="TableNormal"/>
    <w:uiPriority w:val="59"/>
    <w:rsid w:val="00846D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08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lt-LT" w:bidi="ar-SA"/>
    </w:rPr>
  </w:style>
  <w:style w:type="paragraph" w:styleId="Header">
    <w:name w:val="header"/>
    <w:basedOn w:val="Normal"/>
    <w:link w:val="Head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table" w:styleId="TableGrid">
    <w:name w:val="Table Grid"/>
    <w:basedOn w:val="TableNormal"/>
    <w:uiPriority w:val="59"/>
    <w:rsid w:val="00846D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J-Petrauskaite</dc:creator>
  <cp:lastModifiedBy>Gražina Rapkauskienė</cp:lastModifiedBy>
  <cp:revision>16</cp:revision>
  <cp:lastPrinted>2019-07-12T06:39:00Z</cp:lastPrinted>
  <dcterms:created xsi:type="dcterms:W3CDTF">2019-04-03T10:56:00Z</dcterms:created>
  <dcterms:modified xsi:type="dcterms:W3CDTF">2019-08-22T11:12:00Z</dcterms:modified>
</cp:coreProperties>
</file>