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002CD" w14:textId="77777777" w:rsidR="00821811" w:rsidRDefault="00DC606C" w:rsidP="00E1112E">
      <w:pPr>
        <w:jc w:val="center"/>
        <w:outlineLvl w:val="0"/>
      </w:pPr>
      <w:r w:rsidRPr="00802751">
        <w:rPr>
          <w:rFonts w:ascii="Times New Roman" w:hAnsi="Times New Roman" w:cs="Times New Roman"/>
          <w:b/>
          <w:sz w:val="24"/>
          <w:szCs w:val="20"/>
        </w:rPr>
        <w:t>Informacinė pažyma apie vertinimo projektą</w:t>
      </w: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30"/>
      </w:tblGrid>
      <w:tr w:rsidR="00E07CD6" w:rsidRPr="00E1112E" w14:paraId="4413D4DF" w14:textId="77777777" w:rsidTr="00071F37">
        <w:trPr>
          <w:trHeight w:val="708"/>
          <w:jc w:val="center"/>
        </w:trPr>
        <w:tc>
          <w:tcPr>
            <w:tcW w:w="1980" w:type="dxa"/>
          </w:tcPr>
          <w:p w14:paraId="7F587751"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Vertinimo pavadinimas</w:t>
            </w:r>
          </w:p>
        </w:tc>
        <w:tc>
          <w:tcPr>
            <w:tcW w:w="7230" w:type="dxa"/>
          </w:tcPr>
          <w:p w14:paraId="7FE66093" w14:textId="77777777" w:rsidR="00E07CD6" w:rsidRPr="00E1112E" w:rsidRDefault="00307524" w:rsidP="00307524">
            <w:pPr>
              <w:spacing w:after="0" w:line="240" w:lineRule="auto"/>
              <w:jc w:val="both"/>
              <w:rPr>
                <w:rFonts w:ascii="Cambria" w:hAnsi="Cambria" w:cs="Times New Roman"/>
                <w:b/>
              </w:rPr>
            </w:pPr>
            <w:r w:rsidRPr="00307524">
              <w:rPr>
                <w:rFonts w:ascii="Cambria" w:hAnsi="Cambria" w:cs="Times New Roman"/>
                <w:b/>
                <w:bCs/>
              </w:rPr>
              <w:t>2014-2020 m. gamtos apsaugos priemonių įgyvendinimo pažangos vertinimas</w:t>
            </w:r>
          </w:p>
        </w:tc>
      </w:tr>
      <w:tr w:rsidR="00E07CD6" w:rsidRPr="00E1112E" w14:paraId="7BFD8A2C" w14:textId="77777777" w:rsidTr="00071F37">
        <w:trPr>
          <w:jc w:val="center"/>
        </w:trPr>
        <w:tc>
          <w:tcPr>
            <w:tcW w:w="1980" w:type="dxa"/>
          </w:tcPr>
          <w:p w14:paraId="47DA5763"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 xml:space="preserve">Vertinimo tikslas, uždaviniai </w:t>
            </w:r>
          </w:p>
        </w:tc>
        <w:tc>
          <w:tcPr>
            <w:tcW w:w="7230" w:type="dxa"/>
          </w:tcPr>
          <w:p w14:paraId="1E574BC8" w14:textId="77777777" w:rsidR="00307524" w:rsidRDefault="00773072" w:rsidP="00307524">
            <w:pPr>
              <w:pStyle w:val="Text"/>
              <w:tabs>
                <w:tab w:val="clear" w:pos="9600"/>
              </w:tabs>
              <w:spacing w:after="0" w:line="240" w:lineRule="auto"/>
              <w:ind w:left="0"/>
              <w:rPr>
                <w:rFonts w:eastAsia="MS Mincho"/>
                <w:noProof w:val="0"/>
                <w:sz w:val="22"/>
              </w:rPr>
            </w:pPr>
            <w:r w:rsidRPr="00307524">
              <w:rPr>
                <w:rFonts w:eastAsia="MS Mincho"/>
                <w:noProof w:val="0"/>
                <w:sz w:val="22"/>
              </w:rPr>
              <w:t>V</w:t>
            </w:r>
            <w:r w:rsidR="00D8255C" w:rsidRPr="00307524">
              <w:rPr>
                <w:rFonts w:eastAsia="MS Mincho"/>
                <w:noProof w:val="0"/>
                <w:sz w:val="22"/>
              </w:rPr>
              <w:t>ertinimo tikslas</w:t>
            </w:r>
            <w:r w:rsidR="00DC606C" w:rsidRPr="00307524">
              <w:rPr>
                <w:rFonts w:eastAsia="MS Mincho"/>
                <w:noProof w:val="0"/>
                <w:sz w:val="22"/>
              </w:rPr>
              <w:t xml:space="preserve"> – </w:t>
            </w:r>
            <w:r w:rsidR="00307524" w:rsidRPr="00307524">
              <w:rPr>
                <w:rFonts w:eastAsia="MS Mincho"/>
                <w:noProof w:val="0"/>
                <w:sz w:val="22"/>
              </w:rPr>
              <w:t>tobulinti 2014–2020 m. ES fondų investicijų veiksmų programos 5 prioriteto 12-kos gamtos priemonių įgyvendinimą nustatant šių priemonių įgyvendinimo pažangą.</w:t>
            </w:r>
          </w:p>
          <w:p w14:paraId="1602F0D4" w14:textId="77777777" w:rsidR="00307524" w:rsidRPr="00307524" w:rsidRDefault="00307524" w:rsidP="00307524">
            <w:pPr>
              <w:pStyle w:val="Text"/>
              <w:tabs>
                <w:tab w:val="clear" w:pos="9600"/>
              </w:tabs>
              <w:spacing w:after="0" w:line="240" w:lineRule="auto"/>
              <w:ind w:left="0"/>
              <w:rPr>
                <w:rFonts w:eastAsia="MS Mincho"/>
                <w:noProof w:val="0"/>
                <w:sz w:val="22"/>
              </w:rPr>
            </w:pPr>
          </w:p>
          <w:p w14:paraId="09DDBF33" w14:textId="77777777" w:rsidR="00307524" w:rsidRDefault="00307524" w:rsidP="00307524">
            <w:pPr>
              <w:pStyle w:val="Text"/>
              <w:spacing w:after="0" w:line="240" w:lineRule="auto"/>
              <w:ind w:left="0"/>
              <w:rPr>
                <w:rFonts w:eastAsia="MS Mincho"/>
                <w:noProof w:val="0"/>
                <w:sz w:val="22"/>
              </w:rPr>
            </w:pPr>
            <w:r w:rsidRPr="00307524">
              <w:rPr>
                <w:rFonts w:eastAsia="MS Mincho"/>
                <w:noProof w:val="0"/>
                <w:sz w:val="22"/>
              </w:rPr>
              <w:t>Vertinimo uždaviniai</w:t>
            </w:r>
            <w:r>
              <w:rPr>
                <w:rFonts w:eastAsia="MS Mincho"/>
                <w:noProof w:val="0"/>
                <w:sz w:val="22"/>
              </w:rPr>
              <w:t>:</w:t>
            </w:r>
          </w:p>
          <w:p w14:paraId="1AFCB443" w14:textId="77777777" w:rsidR="00307524" w:rsidRDefault="00307524" w:rsidP="00307524">
            <w:pPr>
              <w:pStyle w:val="Text"/>
              <w:numPr>
                <w:ilvl w:val="0"/>
                <w:numId w:val="15"/>
              </w:numPr>
              <w:spacing w:after="0" w:line="240" w:lineRule="auto"/>
              <w:rPr>
                <w:rFonts w:eastAsia="MS Mincho"/>
                <w:noProof w:val="0"/>
                <w:sz w:val="22"/>
              </w:rPr>
            </w:pPr>
            <w:r w:rsidRPr="00307524">
              <w:rPr>
                <w:rFonts w:eastAsia="MS Mincho"/>
                <w:noProof w:val="0"/>
                <w:sz w:val="22"/>
              </w:rPr>
              <w:t xml:space="preserve">Įvertinti 2007–2013 m. paramos Sanglaudos skatinimo veiksmų programos 1.4 uždavinio „Skatinti gamtos išteklių (visų pirma vandens išteklių, kraštovaizdžio ir biologinės įvairovės) išsaugojimą sudarant sąlygas efektyviai juos pritaikyti gyventojų ir ūkio reikmėms“ įgyvendintų priemonių poveikį ir tvarumą. </w:t>
            </w:r>
          </w:p>
          <w:p w14:paraId="6B9C32AC" w14:textId="77777777" w:rsidR="00307524" w:rsidRDefault="00307524" w:rsidP="00307524">
            <w:pPr>
              <w:pStyle w:val="Text"/>
              <w:numPr>
                <w:ilvl w:val="0"/>
                <w:numId w:val="15"/>
              </w:numPr>
              <w:spacing w:after="0" w:line="240" w:lineRule="auto"/>
              <w:rPr>
                <w:rFonts w:eastAsia="MS Mincho"/>
                <w:noProof w:val="0"/>
                <w:sz w:val="22"/>
              </w:rPr>
            </w:pPr>
            <w:r w:rsidRPr="00307524">
              <w:rPr>
                <w:rFonts w:eastAsia="MS Mincho"/>
                <w:noProof w:val="0"/>
                <w:sz w:val="22"/>
              </w:rPr>
              <w:t>Įvertinti 2014–2020 m. ES fondų investicijų veiksmų programos 5 prioriteto „Aplinkosauga, gamtos išteklių darnus naudojimas ir prisitaikymas prie klimato kaitos“ (išskyrus 5.2.1 ir 5.3.2 uždavinius) 12-kos gamtos priemonių įgyvendinimo pažangą: tinkamumą, pakankamumą, efektyvumą ir rezultatyvumą bei tikėtiną poveikį. Pateikti pasiūlymus dėl ES fondų investicijų panaudojimo tobulinimo šioje srityje</w:t>
            </w:r>
            <w:r>
              <w:rPr>
                <w:rFonts w:eastAsia="MS Mincho"/>
                <w:noProof w:val="0"/>
                <w:sz w:val="22"/>
              </w:rPr>
              <w:t xml:space="preserve">. </w:t>
            </w:r>
          </w:p>
          <w:p w14:paraId="6250E37F" w14:textId="77777777" w:rsidR="009162A1" w:rsidRDefault="009162A1" w:rsidP="009162A1">
            <w:pPr>
              <w:pStyle w:val="Text"/>
              <w:spacing w:after="0" w:line="240" w:lineRule="auto"/>
              <w:ind w:left="0"/>
              <w:rPr>
                <w:rFonts w:eastAsia="MS Mincho"/>
                <w:noProof w:val="0"/>
                <w:sz w:val="22"/>
              </w:rPr>
            </w:pPr>
          </w:p>
          <w:p w14:paraId="54347872" w14:textId="77777777" w:rsidR="009162A1" w:rsidRPr="00307524" w:rsidRDefault="009162A1" w:rsidP="009162A1">
            <w:pPr>
              <w:pStyle w:val="Text"/>
              <w:spacing w:after="0" w:line="240" w:lineRule="auto"/>
              <w:ind w:left="0"/>
              <w:rPr>
                <w:rFonts w:eastAsia="MS Mincho"/>
                <w:noProof w:val="0"/>
                <w:sz w:val="22"/>
              </w:rPr>
            </w:pPr>
            <w:r w:rsidRPr="009162A1">
              <w:rPr>
                <w:rFonts w:asciiTheme="majorHAnsi" w:hAnsiTheme="majorHAnsi"/>
                <w:sz w:val="22"/>
              </w:rPr>
              <w:t>Vertinimo objektas ap</w:t>
            </w:r>
            <w:r w:rsidRPr="009162A1">
              <w:rPr>
                <w:rFonts w:asciiTheme="majorHAnsi" w:hAnsiTheme="majorHAnsi"/>
                <w:color w:val="000000"/>
                <w:sz w:val="22"/>
                <w:shd w:val="clear" w:color="auto" w:fill="FFFFFF"/>
              </w:rPr>
              <w:t xml:space="preserve">ėmė devynias 2007–2013 m. </w:t>
            </w:r>
            <w:r>
              <w:rPr>
                <w:rFonts w:asciiTheme="majorHAnsi" w:hAnsiTheme="majorHAnsi"/>
                <w:color w:val="000000"/>
                <w:sz w:val="22"/>
                <w:shd w:val="clear" w:color="auto" w:fill="FFFFFF"/>
              </w:rPr>
              <w:t xml:space="preserve">ES finansinio </w:t>
            </w:r>
            <w:r w:rsidRPr="009162A1">
              <w:rPr>
                <w:rFonts w:asciiTheme="majorHAnsi" w:hAnsiTheme="majorHAnsi"/>
                <w:color w:val="000000"/>
                <w:sz w:val="22"/>
                <w:shd w:val="clear" w:color="auto" w:fill="FFFFFF"/>
              </w:rPr>
              <w:t>laikotarpio ir dvylika 2014–2020 m. ES fondų investicijų veiksmų programos priemonių. Atsižvelgiant į intervencijų turinį priemonės buvo sugrupuotos į 6 temines sritis:</w:t>
            </w:r>
            <w:r w:rsidRPr="002B0072">
              <w:rPr>
                <w:rFonts w:asciiTheme="majorHAnsi" w:hAnsiTheme="majorHAnsi"/>
                <w:color w:val="000000"/>
                <w:sz w:val="22"/>
                <w:shd w:val="clear" w:color="auto" w:fill="FFFFFF"/>
              </w:rPr>
              <w:t xml:space="preserve"> </w:t>
            </w:r>
            <w:r w:rsidRPr="002B0072">
              <w:rPr>
                <w:rFonts w:asciiTheme="majorHAnsi" w:hAnsiTheme="majorHAnsi"/>
                <w:sz w:val="22"/>
              </w:rPr>
              <w:t>biologinės įvairovės ir kraštovaizdžio apsauga, prisitaikymas prie klimato kaitos, požeminio ir paviršinio vandens išteklių būklės gerinimas, oro taršos mažinimas, užterštų teritorijų tvarkymas</w:t>
            </w:r>
            <w:r>
              <w:rPr>
                <w:rFonts w:asciiTheme="majorHAnsi" w:hAnsiTheme="majorHAnsi"/>
                <w:sz w:val="22"/>
              </w:rPr>
              <w:t xml:space="preserve">, </w:t>
            </w:r>
            <w:r w:rsidRPr="002B0072">
              <w:rPr>
                <w:rFonts w:asciiTheme="majorHAnsi" w:hAnsiTheme="majorHAnsi"/>
                <w:sz w:val="22"/>
              </w:rPr>
              <w:t>visuomenės informavimo apie aplinką ir aplinkosauginių-rekreacinių objektų tvarkymas.</w:t>
            </w:r>
          </w:p>
        </w:tc>
      </w:tr>
      <w:tr w:rsidR="00E07CD6" w:rsidRPr="00E1112E" w14:paraId="6D221B0B" w14:textId="77777777" w:rsidTr="00071F37">
        <w:trPr>
          <w:trHeight w:val="1010"/>
          <w:jc w:val="center"/>
        </w:trPr>
        <w:tc>
          <w:tcPr>
            <w:tcW w:w="1980" w:type="dxa"/>
            <w:shd w:val="clear" w:color="auto" w:fill="auto"/>
          </w:tcPr>
          <w:p w14:paraId="48AAB53E"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Vertinimo įgyvendinimo laikotarpis ir biudžetas</w:t>
            </w:r>
          </w:p>
        </w:tc>
        <w:tc>
          <w:tcPr>
            <w:tcW w:w="7230" w:type="dxa"/>
            <w:shd w:val="clear" w:color="auto" w:fill="auto"/>
          </w:tcPr>
          <w:p w14:paraId="57F7DDB8" w14:textId="77777777" w:rsidR="00E07CD6" w:rsidRPr="00891D66" w:rsidRDefault="00E07CD6" w:rsidP="00E1112E">
            <w:pPr>
              <w:autoSpaceDE w:val="0"/>
              <w:autoSpaceDN w:val="0"/>
              <w:adjustRightInd w:val="0"/>
              <w:spacing w:after="0" w:line="240" w:lineRule="auto"/>
              <w:rPr>
                <w:rFonts w:ascii="Cambria" w:hAnsi="Cambria" w:cs="Times New Roman"/>
              </w:rPr>
            </w:pPr>
            <w:r w:rsidRPr="00891D66">
              <w:rPr>
                <w:rFonts w:ascii="Cambria" w:hAnsi="Cambria" w:cs="Times New Roman"/>
              </w:rPr>
              <w:t xml:space="preserve">Vertinimo įgyvendinimo laikotarpis – </w:t>
            </w:r>
            <w:r w:rsidR="00E1112E" w:rsidRPr="00891D66">
              <w:rPr>
                <w:rFonts w:ascii="Cambria" w:hAnsi="Cambria" w:cs="Times New Roman"/>
              </w:rPr>
              <w:t>201</w:t>
            </w:r>
            <w:r w:rsidR="00307524">
              <w:rPr>
                <w:rFonts w:ascii="Cambria" w:hAnsi="Cambria" w:cs="Times New Roman"/>
              </w:rPr>
              <w:t>8</w:t>
            </w:r>
            <w:r w:rsidR="00E1112E" w:rsidRPr="00891D66">
              <w:rPr>
                <w:rFonts w:ascii="Cambria" w:hAnsi="Cambria" w:cs="Times New Roman"/>
              </w:rPr>
              <w:t xml:space="preserve"> m. </w:t>
            </w:r>
            <w:r w:rsidR="00307524">
              <w:rPr>
                <w:rFonts w:ascii="Cambria" w:hAnsi="Cambria" w:cs="Times New Roman"/>
              </w:rPr>
              <w:t>spalis</w:t>
            </w:r>
            <w:r w:rsidR="00E1112E" w:rsidRPr="00891D66">
              <w:rPr>
                <w:rFonts w:ascii="Cambria" w:hAnsi="Cambria" w:cs="Times New Roman"/>
              </w:rPr>
              <w:t>-</w:t>
            </w:r>
            <w:r w:rsidR="00307524">
              <w:rPr>
                <w:rFonts w:ascii="Cambria" w:hAnsi="Cambria" w:cs="Times New Roman"/>
              </w:rPr>
              <w:t>2019 m. birželis</w:t>
            </w:r>
            <w:r w:rsidRPr="00891D66">
              <w:rPr>
                <w:rFonts w:ascii="Cambria" w:hAnsi="Cambria" w:cs="Times New Roman"/>
              </w:rPr>
              <w:t xml:space="preserve"> </w:t>
            </w:r>
          </w:p>
          <w:p w14:paraId="5B01BFA6" w14:textId="77777777" w:rsidR="00E07CD6" w:rsidRPr="00891D66" w:rsidRDefault="00E07CD6" w:rsidP="00E1112E">
            <w:pPr>
              <w:autoSpaceDE w:val="0"/>
              <w:autoSpaceDN w:val="0"/>
              <w:adjustRightInd w:val="0"/>
              <w:spacing w:after="0" w:line="240" w:lineRule="auto"/>
              <w:rPr>
                <w:rFonts w:ascii="Cambria" w:hAnsi="Cambria" w:cs="Times New Roman"/>
              </w:rPr>
            </w:pPr>
            <w:r w:rsidRPr="00891D66">
              <w:rPr>
                <w:rFonts w:ascii="Cambria" w:hAnsi="Cambria" w:cs="Times New Roman"/>
              </w:rPr>
              <w:t xml:space="preserve">Vertinimo biudžetas – </w:t>
            </w:r>
            <w:r w:rsidR="00307524">
              <w:rPr>
                <w:rFonts w:ascii="Cambria" w:hAnsi="Cambria" w:cs="Times New Roman"/>
              </w:rPr>
              <w:t>67 450</w:t>
            </w:r>
            <w:r w:rsidRPr="00891D66">
              <w:rPr>
                <w:rFonts w:ascii="Cambria" w:hAnsi="Cambria" w:cs="Times New Roman"/>
              </w:rPr>
              <w:t xml:space="preserve"> EUR (su PVM).</w:t>
            </w:r>
          </w:p>
        </w:tc>
      </w:tr>
      <w:tr w:rsidR="00E07CD6" w:rsidRPr="00E1112E" w14:paraId="44FD425B" w14:textId="77777777" w:rsidTr="00071F37">
        <w:trPr>
          <w:trHeight w:val="605"/>
          <w:jc w:val="center"/>
        </w:trPr>
        <w:tc>
          <w:tcPr>
            <w:tcW w:w="1980" w:type="dxa"/>
          </w:tcPr>
          <w:p w14:paraId="507469BC"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Paslaugų teikėjas</w:t>
            </w:r>
          </w:p>
        </w:tc>
        <w:tc>
          <w:tcPr>
            <w:tcW w:w="7230" w:type="dxa"/>
          </w:tcPr>
          <w:p w14:paraId="1D092B23" w14:textId="77777777" w:rsidR="00307524" w:rsidRPr="00307524" w:rsidRDefault="00307524" w:rsidP="00307524">
            <w:pPr>
              <w:pStyle w:val="Tituliniodata"/>
              <w:ind w:left="0"/>
              <w:jc w:val="both"/>
            </w:pPr>
            <w:r w:rsidRPr="00307524">
              <w:rPr>
                <w:sz w:val="22"/>
                <w:szCs w:val="22"/>
              </w:rPr>
              <w:t>Ūkio subjektų grupė</w:t>
            </w:r>
            <w:r w:rsidR="00397A46">
              <w:rPr>
                <w:sz w:val="22"/>
                <w:szCs w:val="22"/>
              </w:rPr>
              <w:t>, kurią sudarė</w:t>
            </w:r>
            <w:r w:rsidRPr="00307524">
              <w:rPr>
                <w:sz w:val="22"/>
                <w:szCs w:val="22"/>
              </w:rPr>
              <w:t xml:space="preserve"> UAB „ESTEP Vilnius“ ir VŠĮ „Aplinkos apsaugos politikos centras“</w:t>
            </w:r>
          </w:p>
          <w:p w14:paraId="03C8AF64" w14:textId="77777777" w:rsidR="00E07CD6" w:rsidRPr="00307524" w:rsidRDefault="00E07CD6" w:rsidP="00E1112E">
            <w:pPr>
              <w:autoSpaceDE w:val="0"/>
              <w:autoSpaceDN w:val="0"/>
              <w:adjustRightInd w:val="0"/>
              <w:spacing w:after="0" w:line="240" w:lineRule="auto"/>
              <w:jc w:val="both"/>
              <w:rPr>
                <w:rFonts w:ascii="Cambria" w:hAnsi="Cambria" w:cs="Times New Roman"/>
              </w:rPr>
            </w:pPr>
          </w:p>
        </w:tc>
      </w:tr>
      <w:tr w:rsidR="00E07CD6" w:rsidRPr="00E1112E" w14:paraId="2F509869" w14:textId="77777777" w:rsidTr="00071F37">
        <w:trPr>
          <w:jc w:val="center"/>
        </w:trPr>
        <w:tc>
          <w:tcPr>
            <w:tcW w:w="1980" w:type="dxa"/>
          </w:tcPr>
          <w:p w14:paraId="42E76B49"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Naudoti vertinimo metodai</w:t>
            </w:r>
          </w:p>
        </w:tc>
        <w:tc>
          <w:tcPr>
            <w:tcW w:w="7230" w:type="dxa"/>
          </w:tcPr>
          <w:p w14:paraId="430B9B46" w14:textId="77777777" w:rsidR="00E07CD6" w:rsidRPr="00307524" w:rsidRDefault="00307524" w:rsidP="00DE43EB">
            <w:pPr>
              <w:pStyle w:val="BodyText"/>
              <w:spacing w:after="0" w:line="240" w:lineRule="auto"/>
              <w:jc w:val="both"/>
              <w:rPr>
                <w:rFonts w:ascii="Cambria" w:hAnsi="Cambria"/>
                <w:sz w:val="22"/>
                <w:szCs w:val="22"/>
                <w:lang w:val="lt-LT"/>
              </w:rPr>
            </w:pPr>
            <w:r w:rsidRPr="00307524">
              <w:rPr>
                <w:rFonts w:ascii="Cambria" w:hAnsi="Cambria"/>
                <w:sz w:val="22"/>
                <w:szCs w:val="22"/>
                <w:lang w:val="lt-LT"/>
              </w:rPr>
              <w:t xml:space="preserve">Vertinimo objekto analizė buvo atlikta taikant tinkamumo, rezultatyvumo, efektyvumo, poveikio ir tęstinumo (tvarumo) kriterijus. Buvo naudojami statistiniai ir administraciniai duomenys, papildoma informacija apie vertinimo objektą buvo renkama per interviu su atsakingų institucijų atstovais, projektų vykdytojais ir kitomis suinteresuotomis pusėmis. Taip pat įvertinta įgyvendintų ir įgyvendinamų projektų sąnaudų efektyvumo ar sąnaudų-naudos analizė bei atlikta vykdomų gamtosauginių priemonių sąnaudų ir naudos analizė, pasitelkiant </w:t>
            </w:r>
            <w:proofErr w:type="spellStart"/>
            <w:r w:rsidRPr="00307524">
              <w:rPr>
                <w:rFonts w:ascii="Cambria" w:hAnsi="Cambria"/>
                <w:sz w:val="22"/>
                <w:szCs w:val="22"/>
                <w:lang w:val="lt-LT"/>
              </w:rPr>
              <w:t>ekosisteminių</w:t>
            </w:r>
            <w:proofErr w:type="spellEnd"/>
            <w:r w:rsidRPr="00307524">
              <w:rPr>
                <w:rFonts w:ascii="Cambria" w:hAnsi="Cambria"/>
                <w:sz w:val="22"/>
                <w:szCs w:val="22"/>
                <w:lang w:val="lt-LT"/>
              </w:rPr>
              <w:t xml:space="preserve"> paslaugų vertinimą.</w:t>
            </w:r>
          </w:p>
        </w:tc>
      </w:tr>
      <w:tr w:rsidR="00E07CD6" w:rsidRPr="00E1112E" w14:paraId="3DA57869" w14:textId="77777777" w:rsidTr="00071F37">
        <w:trPr>
          <w:jc w:val="center"/>
        </w:trPr>
        <w:tc>
          <w:tcPr>
            <w:tcW w:w="1980" w:type="dxa"/>
          </w:tcPr>
          <w:p w14:paraId="41F3AEAA"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Vertinimo pagrindinės išvados, faktai</w:t>
            </w:r>
          </w:p>
        </w:tc>
        <w:tc>
          <w:tcPr>
            <w:tcW w:w="7230" w:type="dxa"/>
          </w:tcPr>
          <w:p w14:paraId="3C808447" w14:textId="77777777" w:rsidR="009162A1" w:rsidRPr="009162A1" w:rsidRDefault="009162A1" w:rsidP="00F61E3C">
            <w:pPr>
              <w:pStyle w:val="NormalWeb"/>
              <w:numPr>
                <w:ilvl w:val="0"/>
                <w:numId w:val="17"/>
              </w:numPr>
              <w:spacing w:before="0" w:beforeAutospacing="0" w:after="0" w:afterAutospacing="0"/>
              <w:ind w:left="312"/>
              <w:jc w:val="both"/>
              <w:rPr>
                <w:rFonts w:ascii="Cambria" w:eastAsia="Calibri" w:hAnsi="Cambria"/>
                <w:color w:val="000000"/>
                <w:sz w:val="22"/>
              </w:rPr>
            </w:pPr>
            <w:r w:rsidRPr="002B0072">
              <w:rPr>
                <w:rFonts w:asciiTheme="majorHAnsi" w:hAnsiTheme="majorHAnsi"/>
                <w:sz w:val="22"/>
                <w:szCs w:val="22"/>
              </w:rPr>
              <w:t>Įgyvendinant 2007–2013 m. Sanglaudos skatinimo veiksmų programą į aplinkosaugos sritį iš viso buvo investuota virš 200 mln. Eur ES fondų ir nacionalinio biudžeto lėšų; daugiausiai lėšų teko biologinės įvairovės ir kraštovaizdžio apsaugos sričiai. Pagal 2014–2020 m. veiksmų programą į gamtos apsaugos sritį bus investuota dar 327 mln. Eur, o daugiausiai lėšų numatyta skirti prisitaikymo prie klimato kaitos priemonėms</w:t>
            </w:r>
            <w:r>
              <w:rPr>
                <w:rFonts w:asciiTheme="majorHAnsi" w:hAnsiTheme="majorHAnsi"/>
                <w:sz w:val="22"/>
                <w:szCs w:val="22"/>
              </w:rPr>
              <w:t>.</w:t>
            </w:r>
          </w:p>
          <w:p w14:paraId="295F6D70" w14:textId="77777777" w:rsidR="00831ED9" w:rsidRDefault="00831ED9" w:rsidP="00F61E3C">
            <w:pPr>
              <w:pStyle w:val="NormalWeb"/>
              <w:numPr>
                <w:ilvl w:val="0"/>
                <w:numId w:val="17"/>
              </w:numPr>
              <w:spacing w:before="0" w:beforeAutospacing="0" w:after="0" w:afterAutospacing="0"/>
              <w:ind w:left="312" w:hanging="312"/>
              <w:jc w:val="both"/>
              <w:rPr>
                <w:rFonts w:ascii="Cambria" w:eastAsia="Calibri" w:hAnsi="Cambria"/>
                <w:color w:val="000000"/>
                <w:sz w:val="22"/>
              </w:rPr>
            </w:pPr>
            <w:r w:rsidRPr="00DC3AC7">
              <w:rPr>
                <w:rFonts w:ascii="Cambria" w:eastAsia="Calibri" w:hAnsi="Cambria"/>
                <w:color w:val="000000"/>
                <w:sz w:val="22"/>
              </w:rPr>
              <w:t>Per laikotarpį nuo 2007 m. ES fondų lėšomis Lietuva</w:t>
            </w:r>
            <w:r w:rsidR="007B4077">
              <w:rPr>
                <w:rFonts w:ascii="Cambria" w:eastAsia="Calibri" w:hAnsi="Cambria"/>
                <w:color w:val="000000"/>
                <w:sz w:val="22"/>
              </w:rPr>
              <w:t>i pavyko pasiekti reikšmingos</w:t>
            </w:r>
            <w:r w:rsidRPr="00DC3AC7">
              <w:rPr>
                <w:rFonts w:ascii="Cambria" w:eastAsia="Calibri" w:hAnsi="Cambria"/>
                <w:color w:val="000000"/>
                <w:sz w:val="22"/>
              </w:rPr>
              <w:t xml:space="preserve"> pažang</w:t>
            </w:r>
            <w:r w:rsidR="007B4077">
              <w:rPr>
                <w:rFonts w:ascii="Cambria" w:eastAsia="Calibri" w:hAnsi="Cambria"/>
                <w:color w:val="000000"/>
                <w:sz w:val="22"/>
              </w:rPr>
              <w:t>os</w:t>
            </w:r>
            <w:r w:rsidRPr="00DC3AC7">
              <w:rPr>
                <w:rFonts w:ascii="Cambria" w:eastAsia="Calibri" w:hAnsi="Cambria"/>
                <w:color w:val="000000"/>
                <w:sz w:val="22"/>
              </w:rPr>
              <w:t xml:space="preserve"> gerinant šalies aplinkos būklę ir įgyvendinant ES direktyvų reikalavimus</w:t>
            </w:r>
            <w:r w:rsidR="009162A1">
              <w:rPr>
                <w:rFonts w:ascii="Cambria" w:eastAsia="Calibri" w:hAnsi="Cambria"/>
                <w:color w:val="000000"/>
                <w:sz w:val="22"/>
              </w:rPr>
              <w:t>, ypač</w:t>
            </w:r>
            <w:r w:rsidRPr="00DC3AC7">
              <w:rPr>
                <w:rFonts w:ascii="Cambria" w:eastAsia="Calibri" w:hAnsi="Cambria"/>
                <w:color w:val="000000"/>
                <w:sz w:val="22"/>
              </w:rPr>
              <w:t xml:space="preserve"> vandens išteklių gerinim</w:t>
            </w:r>
            <w:r w:rsidR="009162A1">
              <w:rPr>
                <w:rFonts w:ascii="Cambria" w:eastAsia="Calibri" w:hAnsi="Cambria"/>
                <w:color w:val="000000"/>
                <w:sz w:val="22"/>
              </w:rPr>
              <w:t>o srityje</w:t>
            </w:r>
            <w:r w:rsidRPr="00DC3AC7">
              <w:rPr>
                <w:rFonts w:ascii="Cambria" w:eastAsia="Calibri" w:hAnsi="Cambria"/>
                <w:color w:val="000000"/>
                <w:sz w:val="22"/>
              </w:rPr>
              <w:t xml:space="preserve">, įgyvendinant upių baseinų rajonų valdymo planus, </w:t>
            </w:r>
            <w:r w:rsidR="009162A1">
              <w:rPr>
                <w:rFonts w:ascii="Cambria" w:eastAsia="Calibri" w:hAnsi="Cambria"/>
                <w:color w:val="000000"/>
                <w:sz w:val="22"/>
              </w:rPr>
              <w:t>bei</w:t>
            </w:r>
            <w:r w:rsidRPr="00DC3AC7">
              <w:rPr>
                <w:rFonts w:ascii="Cambria" w:eastAsia="Calibri" w:hAnsi="Cambria"/>
                <w:color w:val="000000"/>
                <w:sz w:val="22"/>
              </w:rPr>
              <w:t xml:space="preserve"> gamtos ir biologinės įvairovės apsaug</w:t>
            </w:r>
            <w:r w:rsidR="009162A1">
              <w:rPr>
                <w:rFonts w:ascii="Cambria" w:eastAsia="Calibri" w:hAnsi="Cambria"/>
                <w:color w:val="000000"/>
                <w:sz w:val="22"/>
              </w:rPr>
              <w:t>os srityje</w:t>
            </w:r>
            <w:r w:rsidRPr="00DC3AC7">
              <w:rPr>
                <w:rFonts w:ascii="Cambria" w:eastAsia="Calibri" w:hAnsi="Cambria"/>
                <w:color w:val="000000"/>
                <w:sz w:val="22"/>
              </w:rPr>
              <w:t xml:space="preserve">, plečiant </w:t>
            </w:r>
            <w:proofErr w:type="spellStart"/>
            <w:r w:rsidRPr="00DC3AC7">
              <w:rPr>
                <w:rFonts w:ascii="Cambria" w:eastAsia="Calibri" w:hAnsi="Cambria"/>
                <w:color w:val="000000"/>
                <w:sz w:val="22"/>
              </w:rPr>
              <w:t>Natura</w:t>
            </w:r>
            <w:proofErr w:type="spellEnd"/>
            <w:r w:rsidRPr="00DC3AC7">
              <w:rPr>
                <w:rFonts w:ascii="Cambria" w:eastAsia="Calibri" w:hAnsi="Cambria"/>
                <w:color w:val="000000"/>
                <w:sz w:val="22"/>
              </w:rPr>
              <w:t xml:space="preserve"> 2000 teritorijas</w:t>
            </w:r>
            <w:r w:rsidR="006048A7">
              <w:rPr>
                <w:rFonts w:ascii="Cambria" w:eastAsia="Calibri" w:hAnsi="Cambria"/>
                <w:color w:val="000000"/>
                <w:sz w:val="22"/>
              </w:rPr>
              <w:t>.</w:t>
            </w:r>
          </w:p>
          <w:p w14:paraId="4CF62CC4" w14:textId="77777777" w:rsidR="005B57BB" w:rsidRPr="005B57BB" w:rsidRDefault="005B57BB" w:rsidP="00F61E3C">
            <w:pPr>
              <w:pStyle w:val="NormalWeb"/>
              <w:numPr>
                <w:ilvl w:val="0"/>
                <w:numId w:val="17"/>
              </w:numPr>
              <w:spacing w:before="0" w:beforeAutospacing="0" w:after="0" w:afterAutospacing="0"/>
              <w:ind w:left="312" w:hanging="283"/>
              <w:jc w:val="both"/>
              <w:rPr>
                <w:rFonts w:ascii="Cambria" w:eastAsia="Calibri" w:hAnsi="Cambria"/>
                <w:color w:val="000000"/>
                <w:sz w:val="22"/>
              </w:rPr>
            </w:pPr>
            <w:r w:rsidRPr="005B57BB">
              <w:rPr>
                <w:rFonts w:ascii="Cambria" w:eastAsia="Calibri" w:hAnsi="Cambria"/>
                <w:color w:val="000000"/>
                <w:sz w:val="22"/>
              </w:rPr>
              <w:t>Atliekant vertinimą</w:t>
            </w:r>
            <w:r>
              <w:rPr>
                <w:rFonts w:ascii="Cambria" w:eastAsia="Calibri" w:hAnsi="Cambria"/>
                <w:color w:val="000000"/>
                <w:sz w:val="22"/>
              </w:rPr>
              <w:t xml:space="preserve">, </w:t>
            </w:r>
            <w:r w:rsidRPr="005B57BB">
              <w:rPr>
                <w:rFonts w:ascii="Cambria" w:eastAsia="Calibri" w:hAnsi="Cambria"/>
                <w:color w:val="000000"/>
                <w:sz w:val="22"/>
              </w:rPr>
              <w:t xml:space="preserve">pirmą kartą Lietuvoje </w:t>
            </w:r>
            <w:r>
              <w:rPr>
                <w:rFonts w:ascii="Cambria" w:eastAsia="Calibri" w:hAnsi="Cambria"/>
                <w:color w:val="000000"/>
                <w:sz w:val="22"/>
              </w:rPr>
              <w:t xml:space="preserve">buvo </w:t>
            </w:r>
            <w:r w:rsidRPr="005B57BB">
              <w:rPr>
                <w:rFonts w:ascii="Cambria" w:eastAsia="Calibri" w:hAnsi="Cambria"/>
                <w:color w:val="000000"/>
                <w:sz w:val="22"/>
              </w:rPr>
              <w:t>pabandyta gamtosaugos priemonių efektyvumą įvertinti pritaikant investicinį požiūrį</w:t>
            </w:r>
            <w:r>
              <w:rPr>
                <w:rFonts w:ascii="Cambria" w:eastAsia="Calibri" w:hAnsi="Cambria"/>
                <w:color w:val="000000"/>
                <w:sz w:val="22"/>
              </w:rPr>
              <w:t xml:space="preserve">, t. y. </w:t>
            </w:r>
            <w:r w:rsidRPr="005B57BB">
              <w:rPr>
                <w:rFonts w:ascii="Cambria" w:eastAsia="Calibri" w:hAnsi="Cambria"/>
                <w:color w:val="000000"/>
                <w:sz w:val="22"/>
              </w:rPr>
              <w:t xml:space="preserve">kaštų-naudos analizės metodą, atsižvelgiant į </w:t>
            </w:r>
            <w:proofErr w:type="spellStart"/>
            <w:r w:rsidRPr="005B57BB">
              <w:rPr>
                <w:rFonts w:ascii="Cambria" w:eastAsia="Calibri" w:hAnsi="Cambria"/>
                <w:color w:val="000000"/>
                <w:sz w:val="22"/>
              </w:rPr>
              <w:t>ekosistemines</w:t>
            </w:r>
            <w:proofErr w:type="spellEnd"/>
            <w:r w:rsidRPr="005B57BB">
              <w:rPr>
                <w:rFonts w:ascii="Cambria" w:eastAsia="Calibri" w:hAnsi="Cambria"/>
                <w:color w:val="000000"/>
                <w:sz w:val="22"/>
              </w:rPr>
              <w:t xml:space="preserve"> paslaugas.</w:t>
            </w:r>
            <w:r>
              <w:rPr>
                <w:rFonts w:ascii="Cambria" w:eastAsia="Calibri" w:hAnsi="Cambria"/>
                <w:color w:val="000000"/>
                <w:sz w:val="22"/>
              </w:rPr>
              <w:t xml:space="preserve"> Buvo apskaičiuota, kad </w:t>
            </w:r>
            <w:r w:rsidRPr="002B0072">
              <w:rPr>
                <w:rFonts w:ascii="Cambria" w:hAnsi="Cambria"/>
                <w:sz w:val="22"/>
                <w:szCs w:val="22"/>
              </w:rPr>
              <w:t xml:space="preserve">visų vertintų priemonių teikiama metinė nauda </w:t>
            </w:r>
            <w:proofErr w:type="spellStart"/>
            <w:r w:rsidRPr="002B0072">
              <w:rPr>
                <w:rFonts w:ascii="Cambria" w:hAnsi="Cambria"/>
                <w:sz w:val="22"/>
                <w:szCs w:val="22"/>
              </w:rPr>
              <w:t>ekosisteminėms</w:t>
            </w:r>
            <w:proofErr w:type="spellEnd"/>
            <w:r w:rsidRPr="002B0072">
              <w:rPr>
                <w:rFonts w:ascii="Cambria" w:hAnsi="Cambria"/>
                <w:sz w:val="22"/>
                <w:szCs w:val="22"/>
              </w:rPr>
              <w:t xml:space="preserve"> paslaugoms yra didesnė nei tų priemonių įgyvendinimo metinės sąnaudos. Tai rodo, jog investicijos į aplinką yra labai svarbios, nes jų sukuriama nauda per gamtos teikiamų </w:t>
            </w:r>
            <w:proofErr w:type="spellStart"/>
            <w:r w:rsidRPr="002B0072">
              <w:rPr>
                <w:rFonts w:ascii="Cambria" w:hAnsi="Cambria"/>
                <w:sz w:val="22"/>
                <w:szCs w:val="22"/>
              </w:rPr>
              <w:t>ekosisteminių</w:t>
            </w:r>
            <w:proofErr w:type="spellEnd"/>
            <w:r w:rsidRPr="002B0072">
              <w:rPr>
                <w:rFonts w:ascii="Cambria" w:hAnsi="Cambria"/>
                <w:sz w:val="22"/>
                <w:szCs w:val="22"/>
              </w:rPr>
              <w:t xml:space="preserve"> paslaugų, t.</w:t>
            </w:r>
            <w:r>
              <w:rPr>
                <w:rFonts w:ascii="Cambria" w:hAnsi="Cambria"/>
                <w:sz w:val="22"/>
                <w:szCs w:val="22"/>
              </w:rPr>
              <w:t xml:space="preserve"> </w:t>
            </w:r>
            <w:r w:rsidRPr="002B0072">
              <w:rPr>
                <w:rFonts w:ascii="Cambria" w:hAnsi="Cambria"/>
                <w:sz w:val="22"/>
                <w:szCs w:val="22"/>
              </w:rPr>
              <w:t>y. žmonių gerovės, patobulinimą, yra reikšminga.</w:t>
            </w:r>
          </w:p>
          <w:p w14:paraId="1B203532" w14:textId="77777777" w:rsidR="005B57BB" w:rsidRPr="00891D66" w:rsidRDefault="005B57BB" w:rsidP="006048A7">
            <w:pPr>
              <w:pStyle w:val="BodyText"/>
              <w:spacing w:after="0" w:line="240" w:lineRule="auto"/>
              <w:ind w:left="413"/>
              <w:jc w:val="both"/>
              <w:rPr>
                <w:rFonts w:ascii="Cambria" w:eastAsia="Cambria" w:hAnsi="Cambria"/>
                <w:sz w:val="22"/>
                <w:szCs w:val="22"/>
                <w:lang w:val="lt-LT"/>
              </w:rPr>
            </w:pPr>
          </w:p>
        </w:tc>
      </w:tr>
      <w:tr w:rsidR="00E07CD6" w:rsidRPr="00E1112E" w14:paraId="39212F5C" w14:textId="77777777" w:rsidTr="00071F37">
        <w:trPr>
          <w:jc w:val="center"/>
        </w:trPr>
        <w:tc>
          <w:tcPr>
            <w:tcW w:w="1980" w:type="dxa"/>
          </w:tcPr>
          <w:p w14:paraId="1009254C"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Nustatytas poveikis</w:t>
            </w:r>
          </w:p>
        </w:tc>
        <w:tc>
          <w:tcPr>
            <w:tcW w:w="7230" w:type="dxa"/>
          </w:tcPr>
          <w:p w14:paraId="49E87D38" w14:textId="77777777" w:rsidR="00122204" w:rsidRPr="004702CA" w:rsidRDefault="00122204" w:rsidP="00122204">
            <w:pPr>
              <w:pStyle w:val="NormalWeb"/>
              <w:numPr>
                <w:ilvl w:val="0"/>
                <w:numId w:val="6"/>
              </w:numPr>
              <w:spacing w:before="0" w:beforeAutospacing="0" w:after="0" w:afterAutospacing="0"/>
              <w:jc w:val="both"/>
              <w:rPr>
                <w:rFonts w:ascii="Cambria" w:eastAsia="Calibri" w:hAnsi="Cambria"/>
                <w:color w:val="000000"/>
                <w:sz w:val="22"/>
              </w:rPr>
            </w:pPr>
            <w:r w:rsidRPr="004702CA">
              <w:rPr>
                <w:rFonts w:ascii="Cambria" w:eastAsia="Calibri" w:hAnsi="Cambria"/>
                <w:color w:val="000000"/>
                <w:sz w:val="22"/>
              </w:rPr>
              <w:t xml:space="preserve">Visos vertintos </w:t>
            </w:r>
            <w:r w:rsidR="00397A46" w:rsidRPr="004702CA">
              <w:rPr>
                <w:rFonts w:ascii="Cambria" w:eastAsia="Calibri" w:hAnsi="Cambria"/>
                <w:color w:val="000000"/>
                <w:sz w:val="22"/>
              </w:rPr>
              <w:t xml:space="preserve">2014-2020 m. </w:t>
            </w:r>
            <w:r w:rsidRPr="004702CA">
              <w:rPr>
                <w:rFonts w:ascii="Cambria" w:eastAsia="Calibri" w:hAnsi="Cambria"/>
                <w:color w:val="000000"/>
                <w:sz w:val="22"/>
              </w:rPr>
              <w:t>priemonės tiesiogiai prisid</w:t>
            </w:r>
            <w:r w:rsidR="00397A46" w:rsidRPr="004702CA">
              <w:rPr>
                <w:rFonts w:ascii="Cambria" w:eastAsia="Calibri" w:hAnsi="Cambria"/>
                <w:color w:val="000000"/>
                <w:sz w:val="22"/>
              </w:rPr>
              <w:t>eda</w:t>
            </w:r>
            <w:r w:rsidRPr="004702CA">
              <w:rPr>
                <w:rFonts w:ascii="Cambria" w:eastAsia="Calibri" w:hAnsi="Cambria"/>
                <w:color w:val="000000"/>
                <w:sz w:val="22"/>
              </w:rPr>
              <w:t xml:space="preserve"> prie Nacionalinėje aplinkos apsaugos strategijoje nustatytų aplinkos apsaugos politikos uždavinių įgyvendinimo. Tačiau aplinkos būklė yra nuolat kintanti, todėl </w:t>
            </w:r>
            <w:r w:rsidR="00397A46" w:rsidRPr="004702CA">
              <w:rPr>
                <w:rFonts w:ascii="Cambria" w:eastAsia="Calibri" w:hAnsi="Cambria"/>
                <w:color w:val="000000"/>
                <w:sz w:val="22"/>
              </w:rPr>
              <w:t xml:space="preserve">bus </w:t>
            </w:r>
            <w:r w:rsidRPr="004702CA">
              <w:rPr>
                <w:rFonts w:ascii="Cambria" w:eastAsia="Calibri" w:hAnsi="Cambria"/>
                <w:color w:val="000000"/>
                <w:sz w:val="22"/>
              </w:rPr>
              <w:t xml:space="preserve">sudėtinga užtikrinti pasiektų rezultatų tvarumą. </w:t>
            </w:r>
          </w:p>
          <w:p w14:paraId="7718B86A" w14:textId="77777777" w:rsidR="00122204" w:rsidRPr="004702CA" w:rsidRDefault="00122204" w:rsidP="00F61E3C">
            <w:pPr>
              <w:pStyle w:val="BodyText"/>
              <w:numPr>
                <w:ilvl w:val="0"/>
                <w:numId w:val="6"/>
              </w:numPr>
              <w:spacing w:after="0" w:line="240" w:lineRule="auto"/>
              <w:ind w:left="357" w:hanging="357"/>
              <w:jc w:val="both"/>
              <w:rPr>
                <w:rFonts w:ascii="Cambria" w:hAnsi="Cambria"/>
                <w:sz w:val="22"/>
                <w:szCs w:val="22"/>
                <w:lang w:val="lt-LT"/>
              </w:rPr>
            </w:pPr>
            <w:r w:rsidRPr="004702CA">
              <w:rPr>
                <w:rFonts w:ascii="Cambria" w:eastAsia="Calibri" w:hAnsi="Cambria"/>
                <w:color w:val="000000"/>
                <w:sz w:val="22"/>
                <w:szCs w:val="24"/>
                <w:lang w:val="lt-LT"/>
              </w:rPr>
              <w:t xml:space="preserve">2007-2017 m. laikotarpiu Lietuvoje nuosekliai didėjo bendras saugomų teritorijų plotas, buvo stebimas nedidelis šalies miškingumo didėjimas, o vertinant žemės dangos pokyčių mastą nustatyta kraštovaizdžio kaitos stabilizavimosi tendencija. Įvertinus priemones, skirtas biologinės įvairovės ir kraštovaizdžio apsaugai, buvo nustatyta, kad Lietuvoje </w:t>
            </w:r>
            <w:r w:rsidRPr="004702CA">
              <w:rPr>
                <w:rFonts w:ascii="Cambria" w:hAnsi="Cambria"/>
                <w:sz w:val="22"/>
                <w:szCs w:val="22"/>
                <w:lang w:val="lt-LT"/>
              </w:rPr>
              <w:t xml:space="preserve">gamtosaugos priemonės parinktos tinkamai, tačiau norint pasiekti nustatytų tikslų </w:t>
            </w:r>
            <w:r w:rsidR="007B4077">
              <w:rPr>
                <w:rFonts w:ascii="Cambria" w:hAnsi="Cambria"/>
                <w:sz w:val="22"/>
                <w:szCs w:val="22"/>
                <w:lang w:val="lt-LT"/>
              </w:rPr>
              <w:t>–</w:t>
            </w:r>
            <w:r w:rsidRPr="004702CA">
              <w:rPr>
                <w:rFonts w:ascii="Cambria" w:hAnsi="Cambria"/>
                <w:sz w:val="22"/>
                <w:szCs w:val="22"/>
                <w:lang w:val="lt-LT"/>
              </w:rPr>
              <w:t xml:space="preserve"> reikalingas didesnis jų įgyvendinimo mastas. </w:t>
            </w:r>
          </w:p>
          <w:p w14:paraId="0A67AA01" w14:textId="77777777" w:rsidR="00862470" w:rsidRPr="004702CA" w:rsidRDefault="00862470" w:rsidP="00397A46">
            <w:pPr>
              <w:pStyle w:val="BodyText"/>
              <w:numPr>
                <w:ilvl w:val="0"/>
                <w:numId w:val="6"/>
              </w:numPr>
              <w:spacing w:after="0" w:line="240" w:lineRule="auto"/>
              <w:ind w:left="357" w:hanging="357"/>
              <w:jc w:val="both"/>
              <w:rPr>
                <w:rFonts w:ascii="Cambria" w:hAnsi="Cambria"/>
                <w:sz w:val="22"/>
                <w:szCs w:val="22"/>
                <w:lang w:val="lt-LT"/>
              </w:rPr>
            </w:pPr>
            <w:r w:rsidRPr="004702CA">
              <w:rPr>
                <w:rFonts w:ascii="Cambria" w:hAnsi="Cambria"/>
                <w:sz w:val="22"/>
                <w:szCs w:val="22"/>
                <w:lang w:val="lt-LT"/>
              </w:rPr>
              <w:t>Prisitaikymo prie klimato kaitos srityje dauguma investicinių projektų prisidėjo prie aplinkos monitoringo ir kontrolės, pajūrio juostos būklės gerinimo, potvynių rizikos mažinimo bei paviršiaus nuotekų tvarkymo tikslų įgyvendinimo. Visų šių vertinamų priemonių įgyvendintų projektų rezultatai yra tvarūs ir ilgalaikiai.</w:t>
            </w:r>
          </w:p>
          <w:p w14:paraId="45F1A6A1" w14:textId="77777777" w:rsidR="00F61E3C" w:rsidRPr="004702CA" w:rsidRDefault="00862470" w:rsidP="00397A46">
            <w:pPr>
              <w:pStyle w:val="BodyText"/>
              <w:numPr>
                <w:ilvl w:val="0"/>
                <w:numId w:val="6"/>
              </w:numPr>
              <w:spacing w:after="0" w:line="240" w:lineRule="auto"/>
              <w:jc w:val="both"/>
              <w:rPr>
                <w:rFonts w:ascii="Cambria" w:hAnsi="Cambria"/>
                <w:sz w:val="22"/>
                <w:szCs w:val="22"/>
                <w:lang w:val="lt-LT"/>
              </w:rPr>
            </w:pPr>
            <w:r w:rsidRPr="004702CA">
              <w:rPr>
                <w:rFonts w:ascii="Cambria" w:hAnsi="Cambria"/>
                <w:sz w:val="22"/>
                <w:szCs w:val="22"/>
                <w:lang w:val="lt-LT"/>
              </w:rPr>
              <w:t xml:space="preserve">Požeminio ir paviršinio vandens išteklių būklės gerinimo srityje </w:t>
            </w:r>
            <w:r w:rsidR="00F61E3C" w:rsidRPr="004702CA">
              <w:rPr>
                <w:rFonts w:ascii="Cambria" w:hAnsi="Cambria"/>
                <w:sz w:val="22"/>
                <w:szCs w:val="22"/>
                <w:lang w:val="lt-LT"/>
              </w:rPr>
              <w:t>a</w:t>
            </w:r>
            <w:r w:rsidR="00F61E3C" w:rsidRPr="004702CA">
              <w:rPr>
                <w:rFonts w:ascii="Cambria" w:hAnsi="Cambria"/>
                <w:sz w:val="22"/>
                <w:szCs w:val="22"/>
                <w:lang w:val="lt-LT"/>
              </w:rPr>
              <w:t xml:space="preserve">tlikta analizė parodė, kad </w:t>
            </w:r>
            <w:r w:rsidR="00F61E3C" w:rsidRPr="004702CA">
              <w:rPr>
                <w:rFonts w:ascii="Cambria" w:hAnsi="Cambria"/>
                <w:sz w:val="22"/>
                <w:szCs w:val="22"/>
                <w:lang w:val="lt-LT"/>
              </w:rPr>
              <w:t xml:space="preserve">investicijų planavimas valstybės lygiu </w:t>
            </w:r>
            <w:r w:rsidR="00F61E3C" w:rsidRPr="004702CA">
              <w:rPr>
                <w:rFonts w:ascii="Cambria" w:hAnsi="Cambria"/>
                <w:sz w:val="22"/>
                <w:szCs w:val="22"/>
                <w:lang w:val="lt-LT"/>
              </w:rPr>
              <w:t xml:space="preserve">yra veiksmingas, užtikrina tikslingą reikiamų </w:t>
            </w:r>
            <w:r w:rsidR="00F61E3C" w:rsidRPr="004702CA">
              <w:rPr>
                <w:rFonts w:ascii="Cambria" w:hAnsi="Cambria"/>
                <w:sz w:val="22"/>
                <w:szCs w:val="22"/>
                <w:lang w:val="lt-LT"/>
              </w:rPr>
              <w:t>projektų</w:t>
            </w:r>
            <w:r w:rsidR="00F61E3C" w:rsidRPr="004702CA">
              <w:rPr>
                <w:rFonts w:ascii="Cambria" w:hAnsi="Cambria"/>
                <w:sz w:val="22"/>
                <w:szCs w:val="22"/>
                <w:lang w:val="lt-LT"/>
              </w:rPr>
              <w:t xml:space="preserve"> įgyvendinimą ir leidžia išvengti ankstesnio laikotarpio</w:t>
            </w:r>
            <w:r w:rsidR="00F61E3C" w:rsidRPr="004702CA">
              <w:rPr>
                <w:rFonts w:ascii="Cambria" w:hAnsi="Cambria"/>
                <w:sz w:val="22"/>
                <w:szCs w:val="22"/>
                <w:lang w:val="lt-LT"/>
              </w:rPr>
              <w:t>, kuomet lėšos šiai sričiai buvo skirstomos regioninio planavimo būdu,</w:t>
            </w:r>
            <w:r w:rsidR="00F61E3C" w:rsidRPr="004702CA">
              <w:rPr>
                <w:rFonts w:ascii="Cambria" w:hAnsi="Cambria"/>
                <w:sz w:val="22"/>
                <w:szCs w:val="22"/>
                <w:lang w:val="lt-LT"/>
              </w:rPr>
              <w:t xml:space="preserve"> problemų. </w:t>
            </w:r>
            <w:r w:rsidR="00F61E3C" w:rsidRPr="004702CA">
              <w:rPr>
                <w:rFonts w:ascii="Cambria" w:eastAsia="Times New Roman" w:hAnsi="Cambria"/>
                <w:sz w:val="22"/>
                <w:szCs w:val="22"/>
                <w:lang w:val="lt-LT"/>
              </w:rPr>
              <w:t xml:space="preserve">Suplanuotos </w:t>
            </w:r>
            <w:r w:rsidR="00F61E3C" w:rsidRPr="004702CA">
              <w:rPr>
                <w:rFonts w:ascii="Cambria" w:eastAsia="Times New Roman" w:hAnsi="Cambria"/>
                <w:sz w:val="22"/>
                <w:szCs w:val="22"/>
                <w:lang w:val="lt-LT"/>
              </w:rPr>
              <w:t xml:space="preserve">2014-2020 m. </w:t>
            </w:r>
            <w:r w:rsidR="00F61E3C" w:rsidRPr="004702CA">
              <w:rPr>
                <w:rFonts w:ascii="Cambria" w:eastAsia="Times New Roman" w:hAnsi="Cambria"/>
                <w:sz w:val="22"/>
                <w:szCs w:val="22"/>
                <w:lang w:val="lt-LT"/>
              </w:rPr>
              <w:t xml:space="preserve">investicijos leis pagerinti vandens išteklių būklę, tačiau numatytos būklės gerinimo priemonės apima tik nedidelę dalį rizikos ežerų, ištiesintų upių vagų, tad galima prognozuoti, kad laikotarpio pabaigoje rizikos grupėje esančių vandens telkinių skaičius vis dar bus gana didelis. </w:t>
            </w:r>
            <w:r w:rsidR="00F61E3C" w:rsidRPr="004702CA">
              <w:rPr>
                <w:rFonts w:ascii="Cambria" w:hAnsi="Cambria"/>
                <w:sz w:val="22"/>
                <w:szCs w:val="22"/>
                <w:lang w:val="lt-LT"/>
              </w:rPr>
              <w:t xml:space="preserve">Be to, vertinimo ataskaitoje pateikiamas pastebėjimas, kad </w:t>
            </w:r>
            <w:r w:rsidR="00F61E3C" w:rsidRPr="004702CA">
              <w:rPr>
                <w:rFonts w:ascii="Cambria" w:hAnsi="Cambria"/>
                <w:sz w:val="22"/>
                <w:szCs w:val="22"/>
                <w:lang w:val="lt-LT"/>
              </w:rPr>
              <w:t>dalis vandens išteklių apsaugai skiriamų investicijų yra naudojama funkcijoms ir veikloms, kurios su vandens išteklių apsauga nėra susijusios (</w:t>
            </w:r>
            <w:r w:rsidR="00F61E3C" w:rsidRPr="004702CA">
              <w:rPr>
                <w:rFonts w:ascii="Cambria" w:hAnsi="Cambria"/>
                <w:sz w:val="22"/>
                <w:szCs w:val="22"/>
                <w:lang w:val="lt-LT"/>
              </w:rPr>
              <w:t>konkrečiai, numatyta finansuoti</w:t>
            </w:r>
            <w:r w:rsidR="00F61E3C" w:rsidRPr="004702CA">
              <w:rPr>
                <w:rFonts w:ascii="Cambria" w:hAnsi="Cambria"/>
                <w:sz w:val="22"/>
                <w:szCs w:val="22"/>
                <w:lang w:val="lt-LT"/>
              </w:rPr>
              <w:t xml:space="preserve"> Lietuvos kariuomenės planuojam</w:t>
            </w:r>
            <w:r w:rsidR="00F61E3C" w:rsidRPr="004702CA">
              <w:rPr>
                <w:rFonts w:ascii="Cambria" w:hAnsi="Cambria"/>
                <w:sz w:val="22"/>
                <w:szCs w:val="22"/>
                <w:lang w:val="lt-LT"/>
              </w:rPr>
              <w:t>ą</w:t>
            </w:r>
            <w:r w:rsidR="00F61E3C" w:rsidRPr="004702CA">
              <w:rPr>
                <w:rFonts w:ascii="Cambria" w:hAnsi="Cambria"/>
                <w:sz w:val="22"/>
                <w:szCs w:val="22"/>
                <w:lang w:val="lt-LT"/>
              </w:rPr>
              <w:t xml:space="preserve"> įsigyti daugiafunkc</w:t>
            </w:r>
            <w:r w:rsidR="00F61E3C" w:rsidRPr="004702CA">
              <w:rPr>
                <w:rFonts w:ascii="Cambria" w:hAnsi="Cambria"/>
                <w:sz w:val="22"/>
                <w:szCs w:val="22"/>
                <w:lang w:val="lt-LT"/>
              </w:rPr>
              <w:t>į</w:t>
            </w:r>
            <w:r w:rsidR="00F61E3C" w:rsidRPr="004702CA">
              <w:rPr>
                <w:rFonts w:ascii="Cambria" w:hAnsi="Cambria"/>
                <w:sz w:val="22"/>
                <w:szCs w:val="22"/>
                <w:lang w:val="lt-LT"/>
              </w:rPr>
              <w:t xml:space="preserve"> gelbėjimo ir taršos likvidavimo laiv</w:t>
            </w:r>
            <w:r w:rsidR="00F61E3C" w:rsidRPr="004702CA">
              <w:rPr>
                <w:rFonts w:ascii="Cambria" w:hAnsi="Cambria"/>
                <w:sz w:val="22"/>
                <w:szCs w:val="22"/>
                <w:lang w:val="lt-LT"/>
              </w:rPr>
              <w:t>ą</w:t>
            </w:r>
            <w:r w:rsidR="00F61E3C" w:rsidRPr="004702CA">
              <w:rPr>
                <w:rFonts w:ascii="Cambria" w:hAnsi="Cambria"/>
                <w:sz w:val="22"/>
                <w:szCs w:val="22"/>
                <w:lang w:val="lt-LT"/>
              </w:rPr>
              <w:t xml:space="preserve">). </w:t>
            </w:r>
          </w:p>
          <w:p w14:paraId="62924627" w14:textId="77777777" w:rsidR="00122204" w:rsidRPr="004702CA" w:rsidRDefault="00397A46" w:rsidP="005F7CD5">
            <w:pPr>
              <w:pStyle w:val="BodyText"/>
              <w:numPr>
                <w:ilvl w:val="0"/>
                <w:numId w:val="6"/>
              </w:numPr>
              <w:spacing w:after="0" w:line="240" w:lineRule="auto"/>
              <w:jc w:val="both"/>
              <w:rPr>
                <w:rFonts w:ascii="Cambria" w:hAnsi="Cambria"/>
                <w:sz w:val="22"/>
                <w:szCs w:val="22"/>
                <w:lang w:val="lt-LT"/>
              </w:rPr>
            </w:pPr>
            <w:r w:rsidRPr="004702CA">
              <w:rPr>
                <w:rFonts w:ascii="Cambria" w:hAnsi="Cambria"/>
                <w:color w:val="000000"/>
                <w:sz w:val="22"/>
                <w:szCs w:val="22"/>
                <w:lang w:val="lt-LT"/>
              </w:rPr>
              <w:t xml:space="preserve">Nors priemonės „Užterštų teritorijų tvarkymas” įgyvendinimas žymiai padidins užterštų teritorijų tvarkymo apimtis (2014-2020 m. finansiniu laikotarpiu sutvarkytos užterštos teritorijos sudarys 25-30 proc. viso sutvarkytų teritorijų skaičiaus), vis dėlto, </w:t>
            </w:r>
            <w:r w:rsidRPr="004702CA">
              <w:rPr>
                <w:rFonts w:ascii="Cambria" w:hAnsi="Cambria"/>
                <w:sz w:val="22"/>
                <w:szCs w:val="22"/>
                <w:lang w:val="lt-LT"/>
              </w:rPr>
              <w:t>po 2014</w:t>
            </w:r>
            <w:r w:rsidRPr="004702CA">
              <w:rPr>
                <w:rFonts w:ascii="Cambria" w:eastAsia="Times New Roman" w:hAnsi="Cambria"/>
                <w:sz w:val="22"/>
                <w:szCs w:val="22"/>
                <w:lang w:val="lt-LT"/>
              </w:rPr>
              <w:t>–</w:t>
            </w:r>
            <w:r w:rsidRPr="004702CA">
              <w:rPr>
                <w:rFonts w:ascii="Cambria" w:hAnsi="Cambria"/>
                <w:sz w:val="22"/>
                <w:szCs w:val="22"/>
                <w:lang w:val="lt-LT"/>
              </w:rPr>
              <w:t xml:space="preserve">2020 metų finansinio laikotarpio liks didelis skaičius praeityje užterštų teritorijų valstybinėje žemėje, kurioms tinkamai sutvarkyti valstybės ir savivaldybių biudžete neatsiras pakankamai lėšų. </w:t>
            </w:r>
          </w:p>
          <w:p w14:paraId="209A33F1" w14:textId="77777777" w:rsidR="00122204" w:rsidRPr="007B4077" w:rsidRDefault="00397A46" w:rsidP="004702CA">
            <w:pPr>
              <w:pStyle w:val="BodyText"/>
              <w:numPr>
                <w:ilvl w:val="0"/>
                <w:numId w:val="6"/>
              </w:numPr>
              <w:spacing w:after="0" w:line="240" w:lineRule="auto"/>
              <w:jc w:val="both"/>
              <w:rPr>
                <w:rFonts w:ascii="Cambria" w:hAnsi="Cambria"/>
                <w:sz w:val="22"/>
                <w:szCs w:val="22"/>
                <w:lang w:val="lt-LT"/>
              </w:rPr>
            </w:pPr>
            <w:r w:rsidRPr="004702CA">
              <w:rPr>
                <w:rFonts w:ascii="Cambria" w:eastAsia="Times New Roman" w:hAnsi="Cambria"/>
                <w:sz w:val="22"/>
                <w:lang w:val="lt-LT"/>
              </w:rPr>
              <w:t>Aplinkos būklės situacija yra ypač priklausoma nuo visuomenės elgsenos, todėl šioje srityje yra taikomos įvairios priemonės: teisiniai įpareigojimai įmonėms ir gyventojams, ekonominės priemonės (pavyzdžiui, užstato už vienkartines pakuotes sistema) ir komunikacijos priemonės, skirtos visuomenės informuotumui apie aplinką didinti ir ugdyti aplinkosauginę kultūrą</w:t>
            </w:r>
            <w:r w:rsidRPr="004702CA">
              <w:rPr>
                <w:rFonts w:ascii="Cambria" w:eastAsia="Times New Roman" w:hAnsi="Cambria"/>
                <w:sz w:val="22"/>
                <w:lang w:val="lt-LT"/>
              </w:rPr>
              <w:t xml:space="preserve">. </w:t>
            </w:r>
            <w:r w:rsidRPr="004702CA">
              <w:rPr>
                <w:rFonts w:ascii="Cambria" w:eastAsia="Times New Roman" w:hAnsi="Cambria"/>
                <w:sz w:val="22"/>
                <w:lang w:val="lt-LT"/>
              </w:rPr>
              <w:t xml:space="preserve">Šio vertinimo metu atlikta analizė parodė, kad </w:t>
            </w:r>
            <w:r w:rsidRPr="004702CA">
              <w:rPr>
                <w:rFonts w:ascii="Cambria" w:eastAsia="Times New Roman" w:hAnsi="Cambria"/>
                <w:sz w:val="22"/>
                <w:lang w:val="lt-LT"/>
              </w:rPr>
              <w:t xml:space="preserve">2007-2013 m. </w:t>
            </w:r>
            <w:r w:rsidRPr="004702CA">
              <w:rPr>
                <w:rFonts w:ascii="Cambria" w:eastAsia="Times New Roman" w:hAnsi="Cambria"/>
                <w:sz w:val="22"/>
                <w:lang w:val="lt-LT"/>
              </w:rPr>
              <w:t xml:space="preserve">vykdant </w:t>
            </w:r>
            <w:r w:rsidRPr="004702CA">
              <w:rPr>
                <w:rFonts w:ascii="Cambria" w:eastAsia="Times New Roman" w:hAnsi="Cambria"/>
                <w:sz w:val="22"/>
                <w:lang w:val="lt-LT"/>
              </w:rPr>
              <w:t>visuomenės informavimo apie aplinką veiklas</w:t>
            </w:r>
            <w:r w:rsidRPr="004702CA">
              <w:rPr>
                <w:rFonts w:ascii="Cambria" w:eastAsia="Times New Roman" w:hAnsi="Cambria"/>
                <w:sz w:val="22"/>
                <w:lang w:val="lt-LT"/>
              </w:rPr>
              <w:t xml:space="preserve"> pavyko pasiekti gerų rezultatų. Per laikotarpį nuo 2007 m. iki 2014 m. Lietuvos gyventojų, teigiančių, kad jie yra gerai arba pakankamai gerai informuoti apie aplinką, dalis išaugo pusantro karto (nuo 38 proc. iki 61 proc.) ir pasiekė bendrą ES vidurkį.</w:t>
            </w:r>
            <w:r w:rsidR="004702CA" w:rsidRPr="004702CA">
              <w:rPr>
                <w:rFonts w:ascii="Cambria" w:eastAsia="Times New Roman" w:hAnsi="Cambria"/>
                <w:sz w:val="22"/>
                <w:lang w:val="lt-LT"/>
              </w:rPr>
              <w:t xml:space="preserve"> </w:t>
            </w:r>
            <w:r w:rsidR="004702CA" w:rsidRPr="004702CA">
              <w:rPr>
                <w:rFonts w:ascii="Cambria" w:eastAsia="Times New Roman" w:hAnsi="Cambria"/>
                <w:sz w:val="22"/>
                <w:lang w:val="lt-LT"/>
              </w:rPr>
              <w:t xml:space="preserve">Atlikus </w:t>
            </w:r>
            <w:r w:rsidR="004702CA" w:rsidRPr="004702CA">
              <w:rPr>
                <w:rFonts w:ascii="Cambria" w:eastAsia="Times New Roman" w:hAnsi="Cambria"/>
                <w:sz w:val="22"/>
                <w:lang w:val="lt-LT"/>
              </w:rPr>
              <w:t>2014-2020 m. laikotarpio visuomenės informavimo apie aplinką</w:t>
            </w:r>
            <w:r w:rsidR="004702CA" w:rsidRPr="004702CA">
              <w:rPr>
                <w:rFonts w:ascii="Cambria" w:eastAsia="Times New Roman" w:hAnsi="Cambria"/>
                <w:sz w:val="22"/>
                <w:lang w:val="lt-LT"/>
              </w:rPr>
              <w:t xml:space="preserve"> priemonės įgyvendinimo analizę buvo nustatyta, kad priemonės intervencinė logika nepilnai atliepia nacionaliniuose strateginiuose dokumentuose nustatytus visuomenės informavimo tikslus ir uždavinius, t. y. turi būti ne tik siekiama informuoti visuomenę įvairiais aplinkos klausimais, tačiau taip pat turi būti siekiama keisti visuomenės nuostatas ir elgseną, skatinti aplinkosauginę kultūrą. Iki šiol vykdyta visuomenės informavimo apie aplinką veikla buvo daugiausiai orientuota į žinių teikimo komponentą.</w:t>
            </w:r>
          </w:p>
          <w:p w14:paraId="56C75BFF" w14:textId="77777777" w:rsidR="00E07CD6" w:rsidRPr="004702CA" w:rsidRDefault="00E07CD6" w:rsidP="00122204">
            <w:pPr>
              <w:pStyle w:val="BodyText"/>
              <w:spacing w:after="0" w:line="240" w:lineRule="auto"/>
              <w:ind w:left="360"/>
              <w:jc w:val="both"/>
              <w:rPr>
                <w:rFonts w:ascii="Cambria" w:hAnsi="Cambria"/>
                <w:sz w:val="22"/>
                <w:szCs w:val="22"/>
                <w:lang w:val="lt-LT"/>
              </w:rPr>
            </w:pPr>
          </w:p>
        </w:tc>
      </w:tr>
      <w:tr w:rsidR="00E07CD6" w:rsidRPr="00E1112E" w14:paraId="5ADF8242" w14:textId="77777777" w:rsidTr="00071F37">
        <w:trPr>
          <w:jc w:val="center"/>
        </w:trPr>
        <w:tc>
          <w:tcPr>
            <w:tcW w:w="1980" w:type="dxa"/>
          </w:tcPr>
          <w:p w14:paraId="4922C193" w14:textId="77777777" w:rsidR="00E07CD6" w:rsidRPr="00E1112E" w:rsidRDefault="00E07CD6" w:rsidP="00E1112E">
            <w:pPr>
              <w:spacing w:after="0" w:line="240" w:lineRule="auto"/>
              <w:rPr>
                <w:rFonts w:ascii="Cambria" w:hAnsi="Cambria" w:cs="Times New Roman"/>
                <w:b/>
                <w:bCs/>
              </w:rPr>
            </w:pPr>
            <w:r w:rsidRPr="00E1112E">
              <w:rPr>
                <w:rFonts w:ascii="Cambria" w:hAnsi="Cambria" w:cs="Times New Roman"/>
                <w:b/>
                <w:bCs/>
              </w:rPr>
              <w:t>Vertinimo pagrindinės rekomendacijos ir jų nauda</w:t>
            </w:r>
          </w:p>
        </w:tc>
        <w:tc>
          <w:tcPr>
            <w:tcW w:w="7230" w:type="dxa"/>
          </w:tcPr>
          <w:p w14:paraId="5569067C" w14:textId="77777777" w:rsidR="0026191F" w:rsidRPr="00DC70EC" w:rsidRDefault="0026191F" w:rsidP="00DC70EC">
            <w:pPr>
              <w:spacing w:after="0" w:line="240" w:lineRule="auto"/>
              <w:jc w:val="both"/>
              <w:rPr>
                <w:rFonts w:ascii="Cambria" w:hAnsi="Cambria" w:cs="Cambria"/>
              </w:rPr>
            </w:pPr>
            <w:r w:rsidRPr="0026191F">
              <w:rPr>
                <w:rFonts w:ascii="Cambria" w:hAnsi="Cambria" w:cs="Cambria"/>
              </w:rPr>
              <w:t xml:space="preserve">Tęsiant 2014-2020 m. gamtosauginių priemonių įgyvendinimą, </w:t>
            </w:r>
            <w:r w:rsidR="007B4077">
              <w:rPr>
                <w:rFonts w:ascii="Cambria" w:hAnsi="Cambria" w:cs="Cambria"/>
              </w:rPr>
              <w:t xml:space="preserve">vertinimo ataskaitoje </w:t>
            </w:r>
            <w:r w:rsidRPr="0026191F">
              <w:rPr>
                <w:rFonts w:ascii="Cambria" w:hAnsi="Cambria" w:cs="Cambria"/>
              </w:rPr>
              <w:t>rekomenduo</w:t>
            </w:r>
            <w:r w:rsidR="007B4077">
              <w:rPr>
                <w:rFonts w:ascii="Cambria" w:hAnsi="Cambria" w:cs="Cambria"/>
              </w:rPr>
              <w:t>jama</w:t>
            </w:r>
            <w:r w:rsidRPr="0026191F">
              <w:rPr>
                <w:rFonts w:ascii="Cambria" w:hAnsi="Cambria" w:cs="Cambria"/>
              </w:rPr>
              <w:t>:</w:t>
            </w:r>
          </w:p>
          <w:p w14:paraId="392A93F8" w14:textId="77777777" w:rsidR="0026191F" w:rsidRDefault="0026191F" w:rsidP="00003415">
            <w:pPr>
              <w:pStyle w:val="ListParagraph"/>
              <w:numPr>
                <w:ilvl w:val="0"/>
                <w:numId w:val="14"/>
              </w:numPr>
              <w:spacing w:after="0" w:line="240" w:lineRule="auto"/>
              <w:contextualSpacing w:val="0"/>
              <w:jc w:val="both"/>
              <w:rPr>
                <w:rFonts w:ascii="Cambria" w:hAnsi="Cambria" w:cs="Cambria"/>
              </w:rPr>
            </w:pPr>
            <w:r w:rsidRPr="0026191F">
              <w:rPr>
                <w:rFonts w:ascii="Cambria" w:hAnsi="Cambria" w:cs="Cambria"/>
              </w:rPr>
              <w:t>Atsižvelgiant į tai, jog žemės ūkio ir miškų sektoriaus plėtra yra labai svarbi bioįvairovės ir kraštovaizdžio apsaugos aspektu, tikslinga numatyti uždavinius ir priemones, stiprinančius aplinkosaugos interesų atstovavimą šiuose ūkio sektoriuose. Ypatingai būtų aktualios tokios priemonės (projektai), kurios stiprintų sričių sinergiją su Europos žemės ūkio fondo kaimo plėtrai finansuojamoms priemonėms.</w:t>
            </w:r>
          </w:p>
          <w:p w14:paraId="317B7187" w14:textId="77777777" w:rsidR="00003415" w:rsidRPr="00003415" w:rsidRDefault="0026191F" w:rsidP="00003415">
            <w:pPr>
              <w:pStyle w:val="ListParagraph"/>
              <w:numPr>
                <w:ilvl w:val="0"/>
                <w:numId w:val="14"/>
              </w:numPr>
              <w:spacing w:after="0" w:line="240" w:lineRule="auto"/>
              <w:jc w:val="both"/>
              <w:rPr>
                <w:rFonts w:ascii="Cambria" w:hAnsi="Cambria" w:cs="Cambria"/>
              </w:rPr>
            </w:pPr>
            <w:r>
              <w:rPr>
                <w:rFonts w:ascii="Cambria" w:hAnsi="Cambria" w:cs="Cambria"/>
              </w:rPr>
              <w:t>P</w:t>
            </w:r>
            <w:r w:rsidRPr="0026191F">
              <w:rPr>
                <w:rFonts w:ascii="Cambria" w:hAnsi="Cambria" w:cs="Cambria"/>
              </w:rPr>
              <w:t>apildyti pagal priemonę „Paviršinių nuotekų sistemų tvarkymas“ finansuojamų veiklų sąrašą, įtraukiant į jį veiklas, numatančias miestų užtvindymo lietaus nuotekomis rizikos vertinimą.</w:t>
            </w:r>
          </w:p>
          <w:p w14:paraId="67BF191D" w14:textId="77777777" w:rsidR="00071F37" w:rsidRPr="00071F37" w:rsidRDefault="00003415" w:rsidP="00071F37">
            <w:pPr>
              <w:pStyle w:val="ListParagraph"/>
              <w:numPr>
                <w:ilvl w:val="0"/>
                <w:numId w:val="14"/>
              </w:numPr>
              <w:spacing w:after="0" w:line="240" w:lineRule="auto"/>
              <w:jc w:val="both"/>
              <w:rPr>
                <w:rFonts w:ascii="Cambria" w:hAnsi="Cambria" w:cs="Cambria"/>
              </w:rPr>
            </w:pPr>
            <w:r w:rsidRPr="00DC70EC">
              <w:rPr>
                <w:rFonts w:ascii="Cambria" w:hAnsi="Cambria" w:cs="Cambria"/>
              </w:rPr>
              <w:t>Atnaujinti Nacionalinę klimato kaitos valdymo politikos strategiją</w:t>
            </w:r>
            <w:r w:rsidR="00DC70EC" w:rsidRPr="00DC70EC">
              <w:rPr>
                <w:rFonts w:ascii="Cambria" w:hAnsi="Cambria" w:cs="Cambria"/>
              </w:rPr>
              <w:t xml:space="preserve">, kurioje </w:t>
            </w:r>
            <w:r w:rsidR="00DC70EC" w:rsidRPr="00DC70EC">
              <w:rPr>
                <w:rFonts w:ascii="Cambria" w:hAnsi="Cambria" w:cs="Cambria"/>
              </w:rPr>
              <w:t>miestų užtvindymo dėl liūčių rizikos mažinimą nurodyti kaip vieną iš prisitaikymo prie klimato kaitos tikslų, o paviršinių (lietaus) nuotekų infrastruktūros tvarkymą nurodyti kaip vieną iš uždavinių/priemonių minėtam tikslui pasiekti.</w:t>
            </w:r>
          </w:p>
          <w:p w14:paraId="29335BE8" w14:textId="77777777" w:rsidR="00071F37" w:rsidRPr="00071F37" w:rsidRDefault="00071F37" w:rsidP="00003415">
            <w:pPr>
              <w:pStyle w:val="ListParagraph"/>
              <w:numPr>
                <w:ilvl w:val="0"/>
                <w:numId w:val="14"/>
              </w:numPr>
              <w:spacing w:after="0" w:line="240" w:lineRule="auto"/>
              <w:jc w:val="both"/>
              <w:rPr>
                <w:rFonts w:ascii="Cambria" w:hAnsi="Cambria" w:cs="Cambria"/>
              </w:rPr>
            </w:pPr>
            <w:r>
              <w:rPr>
                <w:rFonts w:ascii="Cambria" w:hAnsi="Cambria" w:cs="Cambria"/>
              </w:rPr>
              <w:t>Patiksinti priemonės „</w:t>
            </w:r>
            <w:r w:rsidRPr="002B0072">
              <w:rPr>
                <w:rFonts w:ascii="Cambria" w:eastAsia="Times New Roman" w:hAnsi="Cambria"/>
                <w:lang w:eastAsia="lt-LT"/>
              </w:rPr>
              <w:t>Visuomenės informavimo apie aplinką sistemos sukūrimas ir plėtra“</w:t>
            </w:r>
            <w:r>
              <w:rPr>
                <w:rFonts w:ascii="Cambria" w:eastAsia="Times New Roman" w:hAnsi="Cambria"/>
                <w:lang w:eastAsia="lt-LT"/>
              </w:rPr>
              <w:t xml:space="preserve"> intervencinę logiką, papildant ją  </w:t>
            </w:r>
            <w:r w:rsidRPr="008765EF">
              <w:rPr>
                <w:rFonts w:ascii="Cambria" w:eastAsia="Times New Roman" w:hAnsi="Cambria"/>
                <w:lang w:eastAsia="lt-LT"/>
              </w:rPr>
              <w:t>visuomenės aplinkosauginės elgsenos ir tausaus vartojimo skatinimo uždavin</w:t>
            </w:r>
            <w:r>
              <w:rPr>
                <w:rFonts w:ascii="Cambria" w:eastAsia="Times New Roman" w:hAnsi="Cambria"/>
                <w:lang w:eastAsia="lt-LT"/>
              </w:rPr>
              <w:t xml:space="preserve">iu ir jį matuojančiu nacionaliniu </w:t>
            </w:r>
            <w:r>
              <w:rPr>
                <w:rFonts w:ascii="Cambria" w:eastAsia="Times New Roman" w:hAnsi="Cambria"/>
                <w:lang w:eastAsia="lt-LT"/>
              </w:rPr>
              <w:t>rezultato</w:t>
            </w:r>
            <w:r>
              <w:rPr>
                <w:rFonts w:ascii="Cambria" w:eastAsia="Times New Roman" w:hAnsi="Cambria"/>
                <w:lang w:eastAsia="lt-LT"/>
              </w:rPr>
              <w:t xml:space="preserve"> stebėsenos rodikliu „</w:t>
            </w:r>
            <w:r w:rsidRPr="00071F37">
              <w:rPr>
                <w:rFonts w:ascii="Cambria" w:eastAsia="Times New Roman" w:hAnsi="Cambria"/>
                <w:lang w:eastAsia="lt-LT"/>
              </w:rPr>
              <w:t xml:space="preserve">Gyventojų, pakankamai prisidedančių prie tausaus išteklių naudojimo, dalis, proc.“ </w:t>
            </w:r>
            <w:r>
              <w:rPr>
                <w:rFonts w:ascii="Cambria" w:eastAsia="Times New Roman" w:hAnsi="Cambria"/>
                <w:lang w:eastAsia="lt-LT"/>
              </w:rPr>
              <w:t>(</w:t>
            </w:r>
            <w:r w:rsidRPr="00071F37">
              <w:rPr>
                <w:rFonts w:ascii="Cambria" w:eastAsia="Times New Roman" w:hAnsi="Cambria"/>
                <w:lang w:eastAsia="lt-LT"/>
              </w:rPr>
              <w:t xml:space="preserve">reikšmė </w:t>
            </w:r>
            <w:r>
              <w:rPr>
                <w:rFonts w:ascii="Cambria" w:eastAsia="Times New Roman" w:hAnsi="Cambria"/>
                <w:lang w:eastAsia="lt-LT"/>
              </w:rPr>
              <w:t>iki 2023 m.</w:t>
            </w:r>
            <w:r w:rsidRPr="00071F37">
              <w:rPr>
                <w:rFonts w:ascii="Cambria" w:eastAsia="Times New Roman" w:hAnsi="Cambria"/>
                <w:lang w:eastAsia="lt-LT"/>
              </w:rPr>
              <w:t>– 30 proc.</w:t>
            </w:r>
            <w:r>
              <w:rPr>
                <w:rFonts w:ascii="Cambria" w:eastAsia="Times New Roman" w:hAnsi="Cambria"/>
                <w:lang w:eastAsia="lt-LT"/>
              </w:rPr>
              <w:t>).</w:t>
            </w:r>
            <w:r w:rsidRPr="00071F37">
              <w:rPr>
                <w:rFonts w:ascii="Cambria" w:hAnsi="Cambria" w:cs="Times New Roman"/>
                <w:sz w:val="20"/>
                <w:szCs w:val="20"/>
              </w:rPr>
              <w:t xml:space="preserve"> </w:t>
            </w:r>
            <w:r w:rsidRPr="00071F37">
              <w:rPr>
                <w:rFonts w:ascii="Cambria" w:eastAsia="Times New Roman" w:hAnsi="Cambria"/>
                <w:lang w:eastAsia="lt-LT"/>
              </w:rPr>
              <w:t>Rezultato stebėsenos rodiklių matavimą vykyti ne rečiau kaip kas du metus, atliekant visuomenės nuomonės tyrimus. Vykdant tyrimus užtikrinti, kad apklausose būtų taikoma vienoda metodika (imtis, klausimų ir atsakymų formuluotės).</w:t>
            </w:r>
          </w:p>
          <w:p w14:paraId="32599C1D" w14:textId="77777777" w:rsidR="00071F37" w:rsidRDefault="00071F37" w:rsidP="00071F37">
            <w:pPr>
              <w:pStyle w:val="ListParagraph"/>
              <w:spacing w:after="0" w:line="240" w:lineRule="auto"/>
              <w:jc w:val="both"/>
              <w:rPr>
                <w:rFonts w:ascii="Cambria" w:hAnsi="Cambria" w:cs="Cambria"/>
              </w:rPr>
            </w:pPr>
          </w:p>
          <w:p w14:paraId="32C6CD4B" w14:textId="77777777" w:rsidR="00071F37" w:rsidRDefault="00071F37" w:rsidP="0026191F">
            <w:pPr>
              <w:spacing w:after="0" w:line="240" w:lineRule="auto"/>
              <w:jc w:val="both"/>
              <w:rPr>
                <w:rFonts w:ascii="Cambria" w:hAnsi="Cambria" w:cs="Cambria"/>
              </w:rPr>
            </w:pPr>
            <w:r>
              <w:rPr>
                <w:rFonts w:ascii="Cambria" w:hAnsi="Cambria" w:cs="Cambria"/>
              </w:rPr>
              <w:t xml:space="preserve">Vertinimo ataskaitoje pateikti šie pagrindiniai strateginiai siūlymai dėl pasirengimo </w:t>
            </w:r>
            <w:r>
              <w:rPr>
                <w:rFonts w:ascii="Cambria" w:hAnsi="Cambria" w:cs="Cambria"/>
              </w:rPr>
              <w:t>naujam ES struktūrinių fondų programavimo laikotarpiui</w:t>
            </w:r>
            <w:r>
              <w:rPr>
                <w:rFonts w:ascii="Cambria" w:hAnsi="Cambria" w:cs="Cambria"/>
              </w:rPr>
              <w:t xml:space="preserve"> ir galimų intervencijų gamtosaugos srityje</w:t>
            </w:r>
            <w:r w:rsidR="001151FD">
              <w:rPr>
                <w:rFonts w:ascii="Cambria" w:hAnsi="Cambria" w:cs="Cambria"/>
              </w:rPr>
              <w:t xml:space="preserve">: </w:t>
            </w:r>
          </w:p>
          <w:p w14:paraId="0FBE7809" w14:textId="77777777" w:rsidR="0026191F" w:rsidRPr="0026191F" w:rsidRDefault="0026191F" w:rsidP="0026191F">
            <w:pPr>
              <w:spacing w:after="0" w:line="240" w:lineRule="auto"/>
              <w:jc w:val="both"/>
              <w:rPr>
                <w:rFonts w:ascii="Cambria" w:hAnsi="Cambria" w:cs="Cambria"/>
              </w:rPr>
            </w:pPr>
          </w:p>
          <w:p w14:paraId="190FB72E" w14:textId="77777777" w:rsidR="00DC70EC" w:rsidRPr="001151FD" w:rsidRDefault="004E59C4" w:rsidP="001151FD">
            <w:pPr>
              <w:pStyle w:val="ListParagraph"/>
              <w:numPr>
                <w:ilvl w:val="0"/>
                <w:numId w:val="14"/>
              </w:numPr>
              <w:spacing w:after="0" w:line="240" w:lineRule="auto"/>
              <w:contextualSpacing w:val="0"/>
              <w:jc w:val="both"/>
              <w:rPr>
                <w:rFonts w:ascii="Cambria" w:hAnsi="Cambria" w:cs="Cambria"/>
              </w:rPr>
            </w:pPr>
            <w:r>
              <w:rPr>
                <w:rFonts w:ascii="Cambria" w:eastAsia="Calibri" w:hAnsi="Cambria"/>
                <w:color w:val="000000"/>
              </w:rPr>
              <w:t xml:space="preserve">Atsižvelgiant į kintančią aplinkos būklę ir į griežtėjančius </w:t>
            </w:r>
            <w:r w:rsidRPr="009162A1">
              <w:rPr>
                <w:rFonts w:ascii="Cambria" w:eastAsia="Calibri" w:hAnsi="Cambria"/>
                <w:color w:val="000000"/>
              </w:rPr>
              <w:t>ES aplinkosaugini</w:t>
            </w:r>
            <w:r>
              <w:rPr>
                <w:rFonts w:ascii="Cambria" w:eastAsia="Calibri" w:hAnsi="Cambria"/>
                <w:color w:val="000000"/>
              </w:rPr>
              <w:t>us</w:t>
            </w:r>
            <w:r w:rsidRPr="009162A1">
              <w:rPr>
                <w:rFonts w:ascii="Cambria" w:eastAsia="Calibri" w:hAnsi="Cambria"/>
                <w:color w:val="000000"/>
              </w:rPr>
              <w:t xml:space="preserve"> reikalavim</w:t>
            </w:r>
            <w:r>
              <w:rPr>
                <w:rFonts w:ascii="Cambria" w:eastAsia="Calibri" w:hAnsi="Cambria"/>
                <w:color w:val="000000"/>
              </w:rPr>
              <w:t>us</w:t>
            </w:r>
            <w:r w:rsidRPr="009162A1">
              <w:rPr>
                <w:rFonts w:ascii="Cambria" w:eastAsia="Calibri" w:hAnsi="Cambria"/>
                <w:color w:val="000000"/>
              </w:rPr>
              <w:t xml:space="preserve"> visose nagrinėtose srityse </w:t>
            </w:r>
            <w:r>
              <w:rPr>
                <w:rFonts w:ascii="Cambria" w:eastAsia="Calibri" w:hAnsi="Cambria"/>
                <w:color w:val="000000"/>
              </w:rPr>
              <w:t>naujoje ES finansinėje perspektyvoje bus</w:t>
            </w:r>
            <w:r w:rsidRPr="009162A1">
              <w:rPr>
                <w:rFonts w:ascii="Cambria" w:eastAsia="Calibri" w:hAnsi="Cambria"/>
                <w:color w:val="000000"/>
              </w:rPr>
              <w:t xml:space="preserve"> reikalingas tęstinis finansavimas. Tačiau svarbu ne tik finansavimas, bet ir skirtingų finansavimo instrumentų suderinimas (ypač su Kaimo plėtros programa) bei platesnis  kitų aplinkosaugos politikos įgyvendinimo priemonių (reguliacinių, ekonominių bei komunikacinių) taikymas.</w:t>
            </w:r>
            <w:r>
              <w:rPr>
                <w:rFonts w:ascii="Cambria" w:eastAsia="Calibri" w:hAnsi="Cambria"/>
                <w:color w:val="000000"/>
              </w:rPr>
              <w:t xml:space="preserve"> Sprendžiant ribotų finansinių išteklių problemą svarstytina investicijas koncentruoti ne tik tam tikrose prioritetinėse srityse (pavyzdžiui, oro taršos mažinimo ar klimato kaitos poveikio mažinimo srityse), bet ir teritoriniu lygiu (pavyzdžiui, gamtosaugines intervencijas įgyvendinti saugomose teritorijose).</w:t>
            </w:r>
            <w:r w:rsidR="001151FD">
              <w:rPr>
                <w:rFonts w:ascii="Cambria" w:eastAsia="Calibri" w:hAnsi="Cambria"/>
                <w:color w:val="000000"/>
              </w:rPr>
              <w:t xml:space="preserve"> </w:t>
            </w:r>
            <w:r w:rsidR="00DC70EC" w:rsidRPr="001151FD">
              <w:rPr>
                <w:rFonts w:ascii="Cambria" w:eastAsia="Calibri" w:hAnsi="Cambria"/>
                <w:color w:val="000000"/>
              </w:rPr>
              <w:t>Siekiant sumažinti potencialią potvynių žalą ateityje, didelį dėmesį skirti įstatyminei bazei sutvarkyti, kad būtų užtikrintas tinkamas plėtros ir statybų reglamentavimas potencialiose potvynių grėsmės teritorijose. Inžinerinių apsaugos nuo potvynių priemonių poreikis turi būti kiek įmanoma sumažintas apribojant gyvenviečių plėtrą potvynių grėsmės teritorijose bei numatant specialius (su atsparumu potvyniams susijusius) reikalavimus šiose teritorijose statomiems statiniams.</w:t>
            </w:r>
          </w:p>
          <w:p w14:paraId="0AF3253F" w14:textId="77777777" w:rsidR="001151FD" w:rsidRPr="00DC70EC" w:rsidRDefault="001151FD" w:rsidP="00DC70EC">
            <w:pPr>
              <w:pStyle w:val="ListParagraph"/>
              <w:numPr>
                <w:ilvl w:val="0"/>
                <w:numId w:val="14"/>
              </w:numPr>
              <w:spacing w:after="0" w:line="240" w:lineRule="auto"/>
              <w:contextualSpacing w:val="0"/>
              <w:jc w:val="both"/>
              <w:rPr>
                <w:rFonts w:ascii="Cambria" w:eastAsia="Calibri" w:hAnsi="Cambria"/>
                <w:color w:val="000000"/>
              </w:rPr>
            </w:pPr>
            <w:r w:rsidRPr="001151FD">
              <w:rPr>
                <w:rFonts w:ascii="Cambria" w:eastAsia="Calibri" w:hAnsi="Cambria"/>
                <w:color w:val="000000"/>
              </w:rPr>
              <w:t>Remiantis „</w:t>
            </w:r>
            <w:proofErr w:type="spellStart"/>
            <w:r w:rsidRPr="001151FD">
              <w:rPr>
                <w:rFonts w:ascii="Cambria" w:eastAsia="Calibri" w:hAnsi="Cambria"/>
                <w:color w:val="000000"/>
              </w:rPr>
              <w:t>Natura</w:t>
            </w:r>
            <w:proofErr w:type="spellEnd"/>
            <w:r w:rsidRPr="001151FD">
              <w:rPr>
                <w:rFonts w:ascii="Cambria" w:eastAsia="Calibri" w:hAnsi="Cambria"/>
                <w:color w:val="000000"/>
              </w:rPr>
              <w:t xml:space="preserve"> 2000“ prioritetinių veiksmų programos“ ataskaitoje</w:t>
            </w:r>
            <w:r>
              <w:rPr>
                <w:rFonts w:ascii="Cambria" w:eastAsia="Calibri" w:hAnsi="Cambria"/>
                <w:color w:val="000000"/>
                <w:vertAlign w:val="superscript"/>
              </w:rPr>
              <w:t xml:space="preserve"> </w:t>
            </w:r>
            <w:r>
              <w:rPr>
                <w:rFonts w:ascii="Cambria" w:eastAsia="Calibri" w:hAnsi="Cambria"/>
                <w:color w:val="000000"/>
              </w:rPr>
              <w:t xml:space="preserve">(2019 m.) </w:t>
            </w:r>
            <w:r w:rsidRPr="001151FD">
              <w:rPr>
                <w:rFonts w:ascii="Cambria" w:eastAsia="Calibri" w:hAnsi="Cambria"/>
                <w:color w:val="000000"/>
              </w:rPr>
              <w:t>pateiktais skaičiavimais, biologinės įvairovės apsaugos tikslams pasiekti 2021</w:t>
            </w:r>
            <w:r>
              <w:rPr>
                <w:rFonts w:ascii="Cambria" w:eastAsia="Calibri" w:hAnsi="Cambria"/>
                <w:color w:val="000000"/>
              </w:rPr>
              <w:t>–</w:t>
            </w:r>
            <w:r w:rsidRPr="001151FD">
              <w:rPr>
                <w:rFonts w:ascii="Cambria" w:eastAsia="Calibri" w:hAnsi="Cambria"/>
                <w:color w:val="000000"/>
              </w:rPr>
              <w:t xml:space="preserve">2027 m. laikotarpyje finansavimo poreikis yra 137,5 mln. Eur kasmet (110,1 mln. Eur einamosioms ir 27,5 mln. Eur </w:t>
            </w:r>
            <w:proofErr w:type="spellStart"/>
            <w:r w:rsidRPr="001151FD">
              <w:rPr>
                <w:rFonts w:ascii="Cambria" w:eastAsia="Calibri" w:hAnsi="Cambria"/>
                <w:color w:val="000000"/>
              </w:rPr>
              <w:t>viekartinėms</w:t>
            </w:r>
            <w:proofErr w:type="spellEnd"/>
            <w:r w:rsidRPr="001151FD">
              <w:rPr>
                <w:rFonts w:ascii="Cambria" w:eastAsia="Calibri" w:hAnsi="Cambria"/>
                <w:color w:val="000000"/>
              </w:rPr>
              <w:t xml:space="preserve"> (tiksliniai projektai) išlaidoms padengti</w:t>
            </w:r>
            <w:r>
              <w:rPr>
                <w:rFonts w:ascii="Cambria" w:eastAsia="Calibri" w:hAnsi="Cambria"/>
                <w:color w:val="000000"/>
              </w:rPr>
              <w:t>)</w:t>
            </w:r>
            <w:r w:rsidRPr="001151FD">
              <w:rPr>
                <w:rFonts w:ascii="Cambria" w:eastAsia="Calibri" w:hAnsi="Cambria"/>
                <w:color w:val="000000"/>
              </w:rPr>
              <w:t>. Bendras lėšų poreikis visam 2021</w:t>
            </w:r>
            <w:r>
              <w:rPr>
                <w:rFonts w:ascii="Cambria" w:eastAsia="Calibri" w:hAnsi="Cambria"/>
                <w:color w:val="000000"/>
              </w:rPr>
              <w:t>–</w:t>
            </w:r>
            <w:r w:rsidRPr="001151FD">
              <w:rPr>
                <w:rFonts w:ascii="Cambria" w:eastAsia="Calibri" w:hAnsi="Cambria"/>
                <w:color w:val="000000"/>
              </w:rPr>
              <w:t>2027 m. periodui yra 963,2 mln. Eur. Todėl esant ribotoms finansinėms galimybėms rekomenduojama ateities finansinėje perspektyvoje išskirti prioritetines sritis, į kurias būtų koncentruotos ES struktūrinės investicijos.</w:t>
            </w:r>
          </w:p>
          <w:p w14:paraId="2CE8AAF1" w14:textId="77777777" w:rsidR="00003415" w:rsidRDefault="001151FD" w:rsidP="00003415">
            <w:pPr>
              <w:pStyle w:val="ListParagraph"/>
              <w:numPr>
                <w:ilvl w:val="0"/>
                <w:numId w:val="14"/>
              </w:numPr>
              <w:spacing w:after="0" w:line="240" w:lineRule="auto"/>
              <w:contextualSpacing w:val="0"/>
              <w:jc w:val="both"/>
              <w:rPr>
                <w:rFonts w:ascii="Cambria" w:eastAsia="Calibri" w:hAnsi="Cambria"/>
                <w:color w:val="000000"/>
              </w:rPr>
            </w:pPr>
            <w:r>
              <w:rPr>
                <w:rFonts w:ascii="Cambria" w:eastAsia="Calibri" w:hAnsi="Cambria"/>
                <w:color w:val="000000"/>
              </w:rPr>
              <w:t>Vertinimo ataskaitoje r</w:t>
            </w:r>
            <w:r w:rsidR="00003415" w:rsidRPr="00003415">
              <w:rPr>
                <w:rFonts w:ascii="Cambria" w:eastAsia="Calibri" w:hAnsi="Cambria"/>
                <w:color w:val="000000"/>
              </w:rPr>
              <w:t>ekomenduojama tęsti priemonių, skirtų prisitaikymui prie klimato kaitos, finansavimą 2021</w:t>
            </w:r>
            <w:r>
              <w:rPr>
                <w:rFonts w:ascii="Cambria" w:eastAsia="Calibri" w:hAnsi="Cambria"/>
                <w:color w:val="000000"/>
              </w:rPr>
              <w:t>–</w:t>
            </w:r>
            <w:r w:rsidR="00003415" w:rsidRPr="00003415">
              <w:rPr>
                <w:rFonts w:ascii="Cambria" w:eastAsia="Calibri" w:hAnsi="Cambria"/>
                <w:color w:val="000000"/>
              </w:rPr>
              <w:t>2027 m.:</w:t>
            </w:r>
            <w:r w:rsidR="00003415">
              <w:rPr>
                <w:rFonts w:ascii="Cambria" w:eastAsia="Calibri" w:hAnsi="Cambria"/>
                <w:color w:val="000000"/>
              </w:rPr>
              <w:t xml:space="preserve"> (1)</w:t>
            </w:r>
            <w:r w:rsidR="00003415" w:rsidRPr="00003415">
              <w:rPr>
                <w:rFonts w:ascii="Cambria" w:eastAsia="Calibri" w:hAnsi="Cambria"/>
                <w:color w:val="000000"/>
              </w:rPr>
              <w:t xml:space="preserve"> </w:t>
            </w:r>
            <w:r w:rsidR="00003415" w:rsidRPr="00003415">
              <w:rPr>
                <w:rFonts w:ascii="Cambria" w:eastAsia="Calibri" w:hAnsi="Cambria"/>
                <w:color w:val="000000"/>
              </w:rPr>
              <w:t>„Vandens apsaugos ir valdymo priemonių nustatymas": rekomenduojama finansuoti ne tik pilkosios, tačiau ir žaliosios nuotekų tvarkymo infrastruktūros įrengimą</w:t>
            </w:r>
            <w:r w:rsidR="00003415" w:rsidRPr="00003415">
              <w:rPr>
                <w:rFonts w:ascii="Cambria" w:eastAsia="Calibri" w:hAnsi="Cambria"/>
                <w:color w:val="000000"/>
              </w:rPr>
              <w:t xml:space="preserve">; (2) </w:t>
            </w:r>
            <w:r w:rsidR="00003415" w:rsidRPr="00003415">
              <w:rPr>
                <w:rFonts w:ascii="Cambria" w:eastAsia="Calibri" w:hAnsi="Cambria"/>
                <w:color w:val="000000"/>
              </w:rPr>
              <w:t>„Pajūrio tvarkymas“: pajūrio juostos tvarkymas turi būti efektyviai koordinuojamas tarp susijusių institucijų/savivaldybių, o finansavimas turi būti nuolatinis</w:t>
            </w:r>
            <w:r w:rsidR="00003415" w:rsidRPr="00003415">
              <w:rPr>
                <w:rFonts w:ascii="Cambria" w:eastAsia="Calibri" w:hAnsi="Cambria"/>
                <w:color w:val="000000"/>
              </w:rPr>
              <w:t xml:space="preserve">; (3) </w:t>
            </w:r>
            <w:r w:rsidR="00003415" w:rsidRPr="00003415">
              <w:rPr>
                <w:rFonts w:ascii="Cambria" w:eastAsia="Calibri" w:hAnsi="Cambria"/>
                <w:color w:val="000000"/>
              </w:rPr>
              <w:t>„Aplinkos monitoringo, kontrolės ir prevencijos stiprinimas“: rekomenduojama daugiau dėmesio skirti prisitaikymo prie klimato kaitos stebėsenai, įskaitant labiausiai pažeidžiamų ūkio (ekonomikos) sektorių poveikio aplinkai kontrolę, ir kraštovaizdžio bei biologinės įvairovės monitoringui.</w:t>
            </w:r>
          </w:p>
          <w:p w14:paraId="74F2BD35" w14:textId="77777777" w:rsidR="00DC70EC" w:rsidRDefault="001151FD" w:rsidP="00003415">
            <w:pPr>
              <w:pStyle w:val="ListParagraph"/>
              <w:numPr>
                <w:ilvl w:val="0"/>
                <w:numId w:val="14"/>
              </w:numPr>
              <w:spacing w:after="0" w:line="240" w:lineRule="auto"/>
              <w:contextualSpacing w:val="0"/>
              <w:jc w:val="both"/>
              <w:rPr>
                <w:rFonts w:ascii="Cambria" w:eastAsia="Calibri" w:hAnsi="Cambria"/>
                <w:color w:val="000000"/>
              </w:rPr>
            </w:pPr>
            <w:r>
              <w:rPr>
                <w:rFonts w:ascii="Cambria" w:eastAsia="Calibri" w:hAnsi="Cambria"/>
                <w:color w:val="000000"/>
              </w:rPr>
              <w:t xml:space="preserve">Ataskaitoje pažymima, kad </w:t>
            </w:r>
            <w:r w:rsidR="00DC70EC" w:rsidRPr="00DC70EC">
              <w:rPr>
                <w:rFonts w:ascii="Cambria" w:eastAsia="Calibri" w:hAnsi="Cambria"/>
                <w:color w:val="000000"/>
              </w:rPr>
              <w:t>2007</w:t>
            </w:r>
            <w:r>
              <w:rPr>
                <w:rFonts w:ascii="Cambria" w:eastAsia="Calibri" w:hAnsi="Cambria"/>
                <w:color w:val="000000"/>
              </w:rPr>
              <w:t>–</w:t>
            </w:r>
            <w:r w:rsidR="00DC70EC" w:rsidRPr="00DC70EC">
              <w:rPr>
                <w:rFonts w:ascii="Cambria" w:eastAsia="Calibri" w:hAnsi="Cambria"/>
                <w:color w:val="000000"/>
              </w:rPr>
              <w:t>2013 m. ir 2014</w:t>
            </w:r>
            <w:r>
              <w:rPr>
                <w:rFonts w:ascii="Cambria" w:eastAsia="Calibri" w:hAnsi="Cambria"/>
                <w:color w:val="000000"/>
              </w:rPr>
              <w:t>–</w:t>
            </w:r>
            <w:r w:rsidR="00DC70EC" w:rsidRPr="00DC70EC">
              <w:rPr>
                <w:rFonts w:ascii="Cambria" w:eastAsia="Calibri" w:hAnsi="Cambria"/>
                <w:color w:val="000000"/>
              </w:rPr>
              <w:t>2020 m. ES investicijų laikotarpiais nebuvo finansuojamos priemonės, tiesiogiai mažinančios šiltnamio efektą sukeliančių dujų emisijas.</w:t>
            </w:r>
            <w:r w:rsidR="00DC70EC" w:rsidRPr="00DC70EC">
              <w:rPr>
                <w:rFonts w:ascii="Cambria" w:eastAsia="Calibri" w:hAnsi="Cambria"/>
                <w:color w:val="000000"/>
              </w:rPr>
              <w:t xml:space="preserve"> Todėl </w:t>
            </w:r>
            <w:r>
              <w:rPr>
                <w:rFonts w:ascii="Cambria" w:eastAsia="Calibri" w:hAnsi="Cambria"/>
                <w:color w:val="000000"/>
              </w:rPr>
              <w:t>naujoje</w:t>
            </w:r>
            <w:r w:rsidR="00DC70EC" w:rsidRPr="00DC70EC">
              <w:rPr>
                <w:rFonts w:ascii="Cambria" w:eastAsia="Calibri" w:hAnsi="Cambria"/>
                <w:color w:val="000000"/>
              </w:rPr>
              <w:t xml:space="preserve"> finansinėje perspektyvoje tikslinga investuoti į nusausintų durpynų hidrologinio režimo atstatymą. Lietuvoje durpžemiai užima apie 10 % teritorijos (653,9 tūkst. ha), net 67 % yra nusausinti (apie 440 tūkst. ha).  Skaičiavimai rodo, kad Lietuvoje iš nusausintų durpžemių kasmet vidutiniškai išsiskiria apie 10 800 kt. CO2 ekvivalento šiltnamio efektą sukeliančių dujų.</w:t>
            </w:r>
          </w:p>
          <w:p w14:paraId="1F519C68" w14:textId="77777777" w:rsidR="00DC70EC" w:rsidRDefault="00DC70EC" w:rsidP="00DC70EC">
            <w:pPr>
              <w:pStyle w:val="ListParagraph"/>
              <w:numPr>
                <w:ilvl w:val="0"/>
                <w:numId w:val="14"/>
              </w:numPr>
              <w:spacing w:after="0" w:line="240" w:lineRule="auto"/>
              <w:contextualSpacing w:val="0"/>
              <w:jc w:val="both"/>
              <w:rPr>
                <w:rFonts w:ascii="Cambria" w:eastAsia="Calibri" w:hAnsi="Cambria"/>
                <w:color w:val="000000"/>
              </w:rPr>
            </w:pPr>
            <w:r>
              <w:rPr>
                <w:rFonts w:ascii="Cambria" w:eastAsia="Calibri" w:hAnsi="Cambria"/>
                <w:color w:val="000000"/>
              </w:rPr>
              <w:t xml:space="preserve">Ataskaitoje rekomenduojama </w:t>
            </w:r>
            <w:r w:rsidRPr="00DC70EC">
              <w:rPr>
                <w:rFonts w:ascii="Cambria" w:eastAsia="Calibri" w:hAnsi="Cambria"/>
                <w:color w:val="000000"/>
              </w:rPr>
              <w:t xml:space="preserve">tęsti vandens išteklių būklės gerinimo priemonių finansavimą. Planuojant ES investicijas vandens išteklių būklės gerinimo srityje, atsižvelgti į priemonių poreikį, nustatytą atnaujintuose (trečiuosiuose) UBR valdymo planuose bei priemonių programoje, skirtoje jūros aplinkos apsaugos tikslams pasiekti. Planuojant vandens telkinių būklės gerinimo priemonių įgyvendinimą, užtikrinti sąveiką tarp visų gerai būklei pasiekti būtinų intervencijų. Taip pat rekomenduojama </w:t>
            </w:r>
            <w:r w:rsidR="007B4077">
              <w:rPr>
                <w:rFonts w:ascii="Cambria" w:eastAsia="Calibri" w:hAnsi="Cambria"/>
                <w:color w:val="000000"/>
              </w:rPr>
              <w:t>u</w:t>
            </w:r>
            <w:r w:rsidRPr="00DC70EC">
              <w:rPr>
                <w:rFonts w:ascii="Cambria" w:eastAsia="Calibri" w:hAnsi="Cambria"/>
                <w:color w:val="000000"/>
              </w:rPr>
              <w:t xml:space="preserve">žtikrinti taršos </w:t>
            </w:r>
            <w:proofErr w:type="spellStart"/>
            <w:r w:rsidRPr="00DC70EC">
              <w:rPr>
                <w:rFonts w:ascii="Cambria" w:eastAsia="Calibri" w:hAnsi="Cambria"/>
                <w:color w:val="000000"/>
              </w:rPr>
              <w:t>prietakos</w:t>
            </w:r>
            <w:proofErr w:type="spellEnd"/>
            <w:r w:rsidRPr="00DC70EC">
              <w:rPr>
                <w:rFonts w:ascii="Cambria" w:eastAsia="Calibri" w:hAnsi="Cambria"/>
                <w:color w:val="000000"/>
              </w:rPr>
              <w:t xml:space="preserve"> kontrolės ir mažinimo priemonių įgyvendinimą su taršos problemomis susiduriančiuose ežeruose, kuriuose šiame investicijų laikotarpyje yra planuojama įgyvendinti atkuriamąsias būklės gerinimo priemones.</w:t>
            </w:r>
            <w:r w:rsidRPr="00DC70EC">
              <w:rPr>
                <w:rFonts w:ascii="Cambria" w:eastAsia="Calibri" w:hAnsi="Cambria"/>
                <w:color w:val="000000"/>
              </w:rPr>
              <w:t xml:space="preserve"> </w:t>
            </w:r>
            <w:r w:rsidRPr="00DC70EC">
              <w:rPr>
                <w:rFonts w:ascii="Cambria" w:eastAsia="Calibri" w:hAnsi="Cambria"/>
                <w:color w:val="000000"/>
              </w:rPr>
              <w:t>Prioritetą teikti priemonių įgyvendinimui tuose vandens telkiniuose, kuriuose gerai būklei pasiekti sąveika su kitomis intervencijomis nėra reikalinga arba kitų reikalingų intervencijų įgyvendinimas jau yra vykdomas ar bent suplanuotas.</w:t>
            </w:r>
          </w:p>
          <w:p w14:paraId="18EA08E4" w14:textId="77777777" w:rsidR="00265A15" w:rsidRPr="00265A15" w:rsidRDefault="00265A15" w:rsidP="00265A15">
            <w:pPr>
              <w:pStyle w:val="ListParagraph"/>
              <w:numPr>
                <w:ilvl w:val="0"/>
                <w:numId w:val="14"/>
              </w:numPr>
              <w:spacing w:after="0" w:line="240" w:lineRule="auto"/>
              <w:contextualSpacing w:val="0"/>
              <w:jc w:val="both"/>
              <w:rPr>
                <w:rFonts w:ascii="Cambria" w:eastAsia="Calibri" w:hAnsi="Cambria"/>
                <w:color w:val="000000"/>
              </w:rPr>
            </w:pPr>
            <w:r w:rsidRPr="00265A15">
              <w:rPr>
                <w:rFonts w:ascii="Cambria" w:eastAsia="Calibri" w:hAnsi="Cambria"/>
                <w:color w:val="000000"/>
              </w:rPr>
              <w:t xml:space="preserve">Siekiant įgyvendinti iki 2030 m. Lietuvai nustatytus tikslus aplinkos oro kokybės srityje, </w:t>
            </w:r>
            <w:r w:rsidRPr="00265A15">
              <w:rPr>
                <w:rFonts w:ascii="Cambria" w:eastAsia="Calibri" w:hAnsi="Cambria"/>
                <w:color w:val="000000"/>
              </w:rPr>
              <w:t xml:space="preserve">ataskaitoje siūloma </w:t>
            </w:r>
            <w:r w:rsidRPr="00265A15">
              <w:rPr>
                <w:rFonts w:ascii="Cambria" w:eastAsia="Calibri" w:hAnsi="Cambria"/>
                <w:color w:val="000000"/>
              </w:rPr>
              <w:t xml:space="preserve">kitame finansavimo laikotarpyje numatyti </w:t>
            </w:r>
            <w:r w:rsidRPr="00265A15">
              <w:rPr>
                <w:rFonts w:ascii="Cambria" w:eastAsia="Calibri" w:hAnsi="Cambria"/>
                <w:color w:val="000000"/>
              </w:rPr>
              <w:t xml:space="preserve">ES fondų </w:t>
            </w:r>
            <w:r w:rsidRPr="00265A15">
              <w:rPr>
                <w:rFonts w:ascii="Cambria" w:eastAsia="Calibri" w:hAnsi="Cambria"/>
                <w:color w:val="000000"/>
              </w:rPr>
              <w:t>lėšas Nacionalinio oro taršos mažinimo plano įgyvendinimo priemonių plane numatytoms priemonėms įgyvendinti.</w:t>
            </w:r>
          </w:p>
          <w:p w14:paraId="6563D4C3" w14:textId="77777777" w:rsidR="00265A15" w:rsidRPr="00DC70EC" w:rsidRDefault="00265A15" w:rsidP="00DC70EC">
            <w:pPr>
              <w:pStyle w:val="ListParagraph"/>
              <w:numPr>
                <w:ilvl w:val="0"/>
                <w:numId w:val="14"/>
              </w:numPr>
              <w:spacing w:after="0" w:line="240" w:lineRule="auto"/>
              <w:contextualSpacing w:val="0"/>
              <w:jc w:val="both"/>
              <w:rPr>
                <w:rFonts w:ascii="Cambria" w:eastAsia="Calibri" w:hAnsi="Cambria"/>
                <w:color w:val="000000"/>
              </w:rPr>
            </w:pPr>
            <w:r w:rsidRPr="00265A15">
              <w:rPr>
                <w:rFonts w:ascii="Cambria" w:eastAsia="Calibri" w:hAnsi="Cambria"/>
                <w:color w:val="000000"/>
              </w:rPr>
              <w:t xml:space="preserve">Atliktas vertinimas rodo, kad išlieka poreikis toliau investuoti į užterštų teritorijų tvarkymą Lietuvoje, nes </w:t>
            </w:r>
            <w:r w:rsidR="007B4077">
              <w:rPr>
                <w:rFonts w:ascii="Cambria" w:eastAsia="Calibri" w:hAnsi="Cambria"/>
                <w:color w:val="000000"/>
              </w:rPr>
              <w:t>šių</w:t>
            </w:r>
            <w:r w:rsidRPr="00265A15">
              <w:rPr>
                <w:rFonts w:ascii="Cambria" w:eastAsia="Calibri" w:hAnsi="Cambria"/>
                <w:color w:val="000000"/>
              </w:rPr>
              <w:t xml:space="preserve"> teritorijų tvarkymo tempas yra lėtas ir nepakankamas reikšminga</w:t>
            </w:r>
            <w:r w:rsidR="007B4077">
              <w:rPr>
                <w:rFonts w:ascii="Cambria" w:eastAsia="Calibri" w:hAnsi="Cambria"/>
                <w:color w:val="000000"/>
              </w:rPr>
              <w:t>i pažangai</w:t>
            </w:r>
            <w:r w:rsidRPr="00265A15">
              <w:rPr>
                <w:rFonts w:ascii="Cambria" w:eastAsia="Calibri" w:hAnsi="Cambria"/>
                <w:color w:val="000000"/>
              </w:rPr>
              <w:t xml:space="preserve"> pasiekti. S</w:t>
            </w:r>
            <w:r w:rsidR="007B4077">
              <w:rPr>
                <w:rFonts w:ascii="Cambria" w:eastAsia="Calibri" w:hAnsi="Cambria"/>
                <w:color w:val="000000"/>
              </w:rPr>
              <w:t>iūlomi šie s</w:t>
            </w:r>
            <w:r w:rsidRPr="00265A15">
              <w:rPr>
                <w:rFonts w:ascii="Cambria" w:eastAsia="Calibri" w:hAnsi="Cambria"/>
                <w:color w:val="000000"/>
              </w:rPr>
              <w:t>iektini tikslai nauj</w:t>
            </w:r>
            <w:r w:rsidR="007B4077">
              <w:rPr>
                <w:rFonts w:ascii="Cambria" w:eastAsia="Calibri" w:hAnsi="Cambria"/>
                <w:color w:val="000000"/>
              </w:rPr>
              <w:t>u</w:t>
            </w:r>
            <w:r w:rsidRPr="00265A15">
              <w:rPr>
                <w:rFonts w:ascii="Cambria" w:eastAsia="Calibri" w:hAnsi="Cambria"/>
                <w:color w:val="000000"/>
              </w:rPr>
              <w:t xml:space="preserve"> programiniu laikotarpiu: padidinti </w:t>
            </w:r>
            <w:r w:rsidR="007B4077">
              <w:rPr>
                <w:rFonts w:ascii="Cambria" w:eastAsia="Calibri" w:hAnsi="Cambria"/>
                <w:color w:val="000000"/>
              </w:rPr>
              <w:t>potencialių taršos židinių (</w:t>
            </w:r>
            <w:r w:rsidRPr="00265A15">
              <w:rPr>
                <w:rFonts w:ascii="Cambria" w:eastAsia="Calibri" w:hAnsi="Cambria"/>
                <w:color w:val="000000"/>
              </w:rPr>
              <w:t>PTŽ</w:t>
            </w:r>
            <w:r w:rsidR="007B4077">
              <w:rPr>
                <w:rFonts w:ascii="Cambria" w:eastAsia="Calibri" w:hAnsi="Cambria"/>
                <w:color w:val="000000"/>
              </w:rPr>
              <w:t>)</w:t>
            </w:r>
            <w:r w:rsidRPr="00265A15">
              <w:rPr>
                <w:rFonts w:ascii="Cambria" w:eastAsia="Calibri" w:hAnsi="Cambria"/>
                <w:color w:val="000000"/>
              </w:rPr>
              <w:t xml:space="preserve"> </w:t>
            </w:r>
            <w:proofErr w:type="spellStart"/>
            <w:r w:rsidRPr="00265A15">
              <w:rPr>
                <w:rFonts w:ascii="Cambria" w:eastAsia="Calibri" w:hAnsi="Cambria"/>
                <w:color w:val="000000"/>
              </w:rPr>
              <w:t>ištirtumą</w:t>
            </w:r>
            <w:proofErr w:type="spellEnd"/>
            <w:r w:rsidRPr="00265A15">
              <w:rPr>
                <w:rFonts w:ascii="Cambria" w:eastAsia="Calibri" w:hAnsi="Cambria"/>
                <w:color w:val="000000"/>
              </w:rPr>
              <w:t>; valytinoms teritorijoms parengti tvarkymo planus; sutvarkyti užterštas teritorijas. Tikslų įgyvendinimo priemonės: atlikti ypač pavojingų ir didelio pavojingumo PTŽ valstybinėje žemėje ekogeologinį tyrimą 180 - 200 teritorijų, parengti 100-120 ištirtų ypač didelio ir didelio pavojingumo užterštų teritorijų tvarkymo planus; atlikti šių 100-120 užterštų teritorijų sutvarkymą.</w:t>
            </w:r>
            <w:r>
              <w:rPr>
                <w:rFonts w:ascii="Cambria" w:eastAsia="Calibri" w:hAnsi="Cambria"/>
                <w:color w:val="000000"/>
              </w:rPr>
              <w:t xml:space="preserve"> Reikalingų investicijų suma: </w:t>
            </w:r>
            <w:r w:rsidRPr="00265A15">
              <w:rPr>
                <w:rFonts w:ascii="Cambria" w:eastAsia="Calibri" w:hAnsi="Cambria"/>
                <w:color w:val="000000"/>
              </w:rPr>
              <w:t>58- 70 mln. eurų.</w:t>
            </w:r>
          </w:p>
          <w:p w14:paraId="41E6370C" w14:textId="77777777" w:rsidR="00DC70EC" w:rsidRDefault="00DC70EC" w:rsidP="00003415">
            <w:pPr>
              <w:pStyle w:val="ListParagraph"/>
              <w:numPr>
                <w:ilvl w:val="0"/>
                <w:numId w:val="14"/>
              </w:numPr>
              <w:spacing w:after="0" w:line="240" w:lineRule="auto"/>
              <w:contextualSpacing w:val="0"/>
              <w:jc w:val="both"/>
              <w:rPr>
                <w:rFonts w:ascii="Cambria" w:eastAsia="Calibri" w:hAnsi="Cambria"/>
                <w:color w:val="000000"/>
              </w:rPr>
            </w:pPr>
            <w:r w:rsidRPr="002B0072">
              <w:rPr>
                <w:rFonts w:ascii="Cambria" w:eastAsia="Calibri" w:hAnsi="Cambria"/>
                <w:lang w:eastAsia="lt-LT"/>
              </w:rPr>
              <w:t>Siekiant efektyvesnės komunikacijos 2021</w:t>
            </w:r>
            <w:r w:rsidR="007B4077">
              <w:rPr>
                <w:rFonts w:ascii="Cambria" w:eastAsia="Calibri" w:hAnsi="Cambria"/>
                <w:color w:val="000000"/>
              </w:rPr>
              <w:t>–</w:t>
            </w:r>
            <w:r w:rsidRPr="002B0072">
              <w:rPr>
                <w:rFonts w:ascii="Cambria" w:eastAsia="Calibri" w:hAnsi="Cambria"/>
                <w:lang w:eastAsia="lt-LT"/>
              </w:rPr>
              <w:t>2027 m. planavimo periodu rekomenduojama: (1) parengti Lietuvos gyventojų informavimo aplinkos klausimais ir apkinkai palankios elgsenos skatinimo programą (</w:t>
            </w:r>
            <w:r w:rsidRPr="002B0072">
              <w:rPr>
                <w:rFonts w:ascii="Cambria" w:eastAsia="Calibri" w:hAnsi="Cambria"/>
                <w:i/>
                <w:lang w:eastAsia="lt-LT"/>
              </w:rPr>
              <w:t>komunikacijos strategiją</w:t>
            </w:r>
            <w:r w:rsidRPr="002B0072">
              <w:rPr>
                <w:rFonts w:ascii="Cambria" w:eastAsia="Calibri" w:hAnsi="Cambria"/>
                <w:lang w:eastAsia="lt-LT"/>
              </w:rPr>
              <w:t xml:space="preserve">), kurioje </w:t>
            </w:r>
            <w:r w:rsidRPr="002B0072">
              <w:rPr>
                <w:rFonts w:ascii="Cambria" w:eastAsia="Calibri" w:hAnsi="Cambria"/>
                <w:color w:val="000000"/>
                <w:lang w:eastAsia="lt-LT"/>
              </w:rPr>
              <w:t xml:space="preserve">laikantis pagrindinių komunikacijos planavimo principų būtų nustatytos pagrindinės strateginės nuostatos: tikslai, uždaviniai, tikslinės auditorijos, skiriami ištekliai ir komunikacijos efektyvumo matavimo rodikliai (ne tik informuotumas, bet ir nuostatų bei elgsenos pokyčiai), aprašytas programos įgyvendinimas; (2) strategijai įgyvendinti rengti metinius komunikacijos planus, kuriuose atsižvelgiant į aplinkos politikos aktualijas ir visuomenės nuomonės tyrimų rezultatus, būtų nustatomos prioritetinės komunikacijos temos, </w:t>
            </w:r>
            <w:r w:rsidRPr="002B0072">
              <w:rPr>
                <w:rFonts w:ascii="Cambria" w:eastAsia="Calibri" w:hAnsi="Cambria"/>
                <w:lang w:eastAsia="lt-LT"/>
              </w:rPr>
              <w:t>kokia informacija (pagrindinės žinutės) turi būti perduota kiekvienai tikslinei grupei, pagal konkrečios grupės žiniasklaidos vartojimo įpročius parinktos tinkamos priemonės, nustatyti metiniai komunikacijos efektyvumo rodikliai</w:t>
            </w:r>
            <w:r w:rsidR="00265A15">
              <w:rPr>
                <w:rFonts w:ascii="Cambria" w:eastAsia="Calibri" w:hAnsi="Cambria"/>
                <w:lang w:eastAsia="lt-LT"/>
              </w:rPr>
              <w:t>.</w:t>
            </w:r>
          </w:p>
          <w:p w14:paraId="37DAAB04" w14:textId="77777777" w:rsidR="00E07CD6" w:rsidRPr="00E1112E" w:rsidRDefault="00E07CD6" w:rsidP="00DC70EC">
            <w:pPr>
              <w:pStyle w:val="ListParagraph"/>
              <w:spacing w:after="0" w:line="240" w:lineRule="auto"/>
              <w:contextualSpacing w:val="0"/>
              <w:jc w:val="both"/>
              <w:rPr>
                <w:rFonts w:ascii="Cambria" w:eastAsia="Times New Roman" w:hAnsi="Cambria" w:cs="Times New Roman"/>
              </w:rPr>
            </w:pPr>
          </w:p>
        </w:tc>
      </w:tr>
    </w:tbl>
    <w:p w14:paraId="4B94F498" w14:textId="77777777" w:rsidR="00307524" w:rsidRPr="00E1112E" w:rsidRDefault="00307524" w:rsidP="00E1112E">
      <w:pPr>
        <w:spacing w:after="0" w:line="240" w:lineRule="auto"/>
        <w:rPr>
          <w:rFonts w:ascii="Cambria" w:hAnsi="Cambria"/>
        </w:rPr>
      </w:pPr>
    </w:p>
    <w:sectPr w:rsidR="00307524" w:rsidRPr="00E1112E" w:rsidSect="008218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71BD" w14:textId="77777777" w:rsidR="001E3DE0" w:rsidRDefault="001E3DE0" w:rsidP="001151FD">
      <w:pPr>
        <w:spacing w:after="0" w:line="240" w:lineRule="auto"/>
      </w:pPr>
      <w:r>
        <w:separator/>
      </w:r>
    </w:p>
  </w:endnote>
  <w:endnote w:type="continuationSeparator" w:id="0">
    <w:p w14:paraId="4F0E5F04" w14:textId="77777777" w:rsidR="001E3DE0" w:rsidRDefault="001E3DE0" w:rsidP="0011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7CD5" w14:textId="77777777" w:rsidR="001E3DE0" w:rsidRDefault="001E3DE0" w:rsidP="001151FD">
      <w:pPr>
        <w:spacing w:after="0" w:line="240" w:lineRule="auto"/>
      </w:pPr>
      <w:r>
        <w:separator/>
      </w:r>
    </w:p>
  </w:footnote>
  <w:footnote w:type="continuationSeparator" w:id="0">
    <w:p w14:paraId="036C0854" w14:textId="77777777" w:rsidR="001E3DE0" w:rsidRDefault="001E3DE0" w:rsidP="00115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2E6"/>
    <w:multiLevelType w:val="hybridMultilevel"/>
    <w:tmpl w:val="C28CF3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906A6"/>
    <w:multiLevelType w:val="hybridMultilevel"/>
    <w:tmpl w:val="7372759E"/>
    <w:lvl w:ilvl="0" w:tplc="04270001">
      <w:start w:val="1"/>
      <w:numFmt w:val="bullet"/>
      <w:lvlText w:val=""/>
      <w:lvlJc w:val="left"/>
      <w:pPr>
        <w:ind w:left="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 w15:restartNumberingAfterBreak="0">
    <w:nsid w:val="09331F9A"/>
    <w:multiLevelType w:val="multilevel"/>
    <w:tmpl w:val="02224B8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7D7B3B"/>
    <w:multiLevelType w:val="hybridMultilevel"/>
    <w:tmpl w:val="C77086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956762"/>
    <w:multiLevelType w:val="hybridMultilevel"/>
    <w:tmpl w:val="E82C8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90582B"/>
    <w:multiLevelType w:val="hybridMultilevel"/>
    <w:tmpl w:val="5C9C25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F9515FD"/>
    <w:multiLevelType w:val="multilevel"/>
    <w:tmpl w:val="5AB8D1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263FA"/>
    <w:multiLevelType w:val="hybridMultilevel"/>
    <w:tmpl w:val="2958A1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2774F65"/>
    <w:multiLevelType w:val="hybridMultilevel"/>
    <w:tmpl w:val="D4660A3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2936FCE"/>
    <w:multiLevelType w:val="multilevel"/>
    <w:tmpl w:val="FFA066B8"/>
    <w:lvl w:ilvl="0">
      <w:start w:val="1"/>
      <w:numFmt w:val="decimal"/>
      <w:pStyle w:val="Antrastes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5BB09F7"/>
    <w:multiLevelType w:val="hybridMultilevel"/>
    <w:tmpl w:val="50320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8A1068"/>
    <w:multiLevelType w:val="hybridMultilevel"/>
    <w:tmpl w:val="1A1053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33B5DBC"/>
    <w:multiLevelType w:val="hybridMultilevel"/>
    <w:tmpl w:val="80023562"/>
    <w:lvl w:ilvl="0" w:tplc="5CFEFD3C">
      <w:start w:val="1"/>
      <w:numFmt w:val="bullet"/>
      <w:lvlText w:val="•"/>
      <w:lvlJc w:val="left"/>
      <w:pPr>
        <w:tabs>
          <w:tab w:val="num" w:pos="720"/>
        </w:tabs>
        <w:ind w:left="720" w:hanging="360"/>
      </w:pPr>
      <w:rPr>
        <w:rFonts w:ascii="Arial" w:hAnsi="Arial" w:hint="default"/>
      </w:rPr>
    </w:lvl>
    <w:lvl w:ilvl="1" w:tplc="723CC0E0" w:tentative="1">
      <w:start w:val="1"/>
      <w:numFmt w:val="bullet"/>
      <w:lvlText w:val="•"/>
      <w:lvlJc w:val="left"/>
      <w:pPr>
        <w:tabs>
          <w:tab w:val="num" w:pos="1440"/>
        </w:tabs>
        <w:ind w:left="1440" w:hanging="360"/>
      </w:pPr>
      <w:rPr>
        <w:rFonts w:ascii="Arial" w:hAnsi="Arial" w:hint="default"/>
      </w:rPr>
    </w:lvl>
    <w:lvl w:ilvl="2" w:tplc="0660EB94" w:tentative="1">
      <w:start w:val="1"/>
      <w:numFmt w:val="bullet"/>
      <w:lvlText w:val="•"/>
      <w:lvlJc w:val="left"/>
      <w:pPr>
        <w:tabs>
          <w:tab w:val="num" w:pos="2160"/>
        </w:tabs>
        <w:ind w:left="2160" w:hanging="360"/>
      </w:pPr>
      <w:rPr>
        <w:rFonts w:ascii="Arial" w:hAnsi="Arial" w:hint="default"/>
      </w:rPr>
    </w:lvl>
    <w:lvl w:ilvl="3" w:tplc="15269A12" w:tentative="1">
      <w:start w:val="1"/>
      <w:numFmt w:val="bullet"/>
      <w:lvlText w:val="•"/>
      <w:lvlJc w:val="left"/>
      <w:pPr>
        <w:tabs>
          <w:tab w:val="num" w:pos="2880"/>
        </w:tabs>
        <w:ind w:left="2880" w:hanging="360"/>
      </w:pPr>
      <w:rPr>
        <w:rFonts w:ascii="Arial" w:hAnsi="Arial" w:hint="default"/>
      </w:rPr>
    </w:lvl>
    <w:lvl w:ilvl="4" w:tplc="4E6ABB12" w:tentative="1">
      <w:start w:val="1"/>
      <w:numFmt w:val="bullet"/>
      <w:lvlText w:val="•"/>
      <w:lvlJc w:val="left"/>
      <w:pPr>
        <w:tabs>
          <w:tab w:val="num" w:pos="3600"/>
        </w:tabs>
        <w:ind w:left="3600" w:hanging="360"/>
      </w:pPr>
      <w:rPr>
        <w:rFonts w:ascii="Arial" w:hAnsi="Arial" w:hint="default"/>
      </w:rPr>
    </w:lvl>
    <w:lvl w:ilvl="5" w:tplc="23D6185C" w:tentative="1">
      <w:start w:val="1"/>
      <w:numFmt w:val="bullet"/>
      <w:lvlText w:val="•"/>
      <w:lvlJc w:val="left"/>
      <w:pPr>
        <w:tabs>
          <w:tab w:val="num" w:pos="4320"/>
        </w:tabs>
        <w:ind w:left="4320" w:hanging="360"/>
      </w:pPr>
      <w:rPr>
        <w:rFonts w:ascii="Arial" w:hAnsi="Arial" w:hint="default"/>
      </w:rPr>
    </w:lvl>
    <w:lvl w:ilvl="6" w:tplc="F378F850" w:tentative="1">
      <w:start w:val="1"/>
      <w:numFmt w:val="bullet"/>
      <w:lvlText w:val="•"/>
      <w:lvlJc w:val="left"/>
      <w:pPr>
        <w:tabs>
          <w:tab w:val="num" w:pos="5040"/>
        </w:tabs>
        <w:ind w:left="5040" w:hanging="360"/>
      </w:pPr>
      <w:rPr>
        <w:rFonts w:ascii="Arial" w:hAnsi="Arial" w:hint="default"/>
      </w:rPr>
    </w:lvl>
    <w:lvl w:ilvl="7" w:tplc="AF446B2C" w:tentative="1">
      <w:start w:val="1"/>
      <w:numFmt w:val="bullet"/>
      <w:lvlText w:val="•"/>
      <w:lvlJc w:val="left"/>
      <w:pPr>
        <w:tabs>
          <w:tab w:val="num" w:pos="5760"/>
        </w:tabs>
        <w:ind w:left="5760" w:hanging="360"/>
      </w:pPr>
      <w:rPr>
        <w:rFonts w:ascii="Arial" w:hAnsi="Arial" w:hint="default"/>
      </w:rPr>
    </w:lvl>
    <w:lvl w:ilvl="8" w:tplc="DDC805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057515"/>
    <w:multiLevelType w:val="hybridMultilevel"/>
    <w:tmpl w:val="F440C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591F41"/>
    <w:multiLevelType w:val="hybridMultilevel"/>
    <w:tmpl w:val="7FD6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4F37B9"/>
    <w:multiLevelType w:val="hybridMultilevel"/>
    <w:tmpl w:val="C1CEB68E"/>
    <w:lvl w:ilvl="0" w:tplc="04270001">
      <w:start w:val="1"/>
      <w:numFmt w:val="bullet"/>
      <w:lvlText w:val=""/>
      <w:lvlJc w:val="left"/>
      <w:pPr>
        <w:ind w:left="720" w:hanging="360"/>
      </w:pPr>
      <w:rPr>
        <w:rFonts w:ascii="Symbol" w:hAnsi="Symbol"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2D6951"/>
    <w:multiLevelType w:val="multilevel"/>
    <w:tmpl w:val="B602F2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DF4A66"/>
    <w:multiLevelType w:val="hybridMultilevel"/>
    <w:tmpl w:val="C7A8F7A8"/>
    <w:lvl w:ilvl="0" w:tplc="825A5908">
      <w:start w:val="1"/>
      <w:numFmt w:val="bullet"/>
      <w:lvlText w:val=""/>
      <w:lvlJc w:val="left"/>
      <w:pPr>
        <w:ind w:left="1080" w:hanging="360"/>
      </w:pPr>
      <w:rPr>
        <w:rFonts w:ascii="Times New Roman" w:hAnsi="Times New Roman" w:cs="Times New Roman" w:hint="default"/>
        <w:b/>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D881655"/>
    <w:multiLevelType w:val="hybridMultilevel"/>
    <w:tmpl w:val="CF7EA3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17"/>
  </w:num>
  <w:num w:numId="4">
    <w:abstractNumId w:val="18"/>
  </w:num>
  <w:num w:numId="5">
    <w:abstractNumId w:val="1"/>
  </w:num>
  <w:num w:numId="6">
    <w:abstractNumId w:val="7"/>
  </w:num>
  <w:num w:numId="7">
    <w:abstractNumId w:val="8"/>
  </w:num>
  <w:num w:numId="8">
    <w:abstractNumId w:val="11"/>
  </w:num>
  <w:num w:numId="9">
    <w:abstractNumId w:val="9"/>
  </w:num>
  <w:num w:numId="10">
    <w:abstractNumId w:val="16"/>
  </w:num>
  <w:num w:numId="11">
    <w:abstractNumId w:val="2"/>
  </w:num>
  <w:num w:numId="12">
    <w:abstractNumId w:val="6"/>
  </w:num>
  <w:num w:numId="13">
    <w:abstractNumId w:val="13"/>
  </w:num>
  <w:num w:numId="14">
    <w:abstractNumId w:val="3"/>
  </w:num>
  <w:num w:numId="15">
    <w:abstractNumId w:val="10"/>
  </w:num>
  <w:num w:numId="16">
    <w:abstractNumId w:val="0"/>
  </w:num>
  <w:num w:numId="17">
    <w:abstractNumId w:val="14"/>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D6"/>
    <w:rsid w:val="00003415"/>
    <w:rsid w:val="00017897"/>
    <w:rsid w:val="000654CF"/>
    <w:rsid w:val="00071F37"/>
    <w:rsid w:val="000816CE"/>
    <w:rsid w:val="001062F5"/>
    <w:rsid w:val="00113469"/>
    <w:rsid w:val="001151FD"/>
    <w:rsid w:val="00122204"/>
    <w:rsid w:val="001E3DE0"/>
    <w:rsid w:val="0024378F"/>
    <w:rsid w:val="0026191F"/>
    <w:rsid w:val="00265A15"/>
    <w:rsid w:val="00284F97"/>
    <w:rsid w:val="002975A3"/>
    <w:rsid w:val="002E1E52"/>
    <w:rsid w:val="00307524"/>
    <w:rsid w:val="00383427"/>
    <w:rsid w:val="00397A46"/>
    <w:rsid w:val="003F313C"/>
    <w:rsid w:val="004702CA"/>
    <w:rsid w:val="004E59C4"/>
    <w:rsid w:val="004F78B1"/>
    <w:rsid w:val="005B57BB"/>
    <w:rsid w:val="006048A7"/>
    <w:rsid w:val="006A04EC"/>
    <w:rsid w:val="00711005"/>
    <w:rsid w:val="00773072"/>
    <w:rsid w:val="007B4077"/>
    <w:rsid w:val="007F3F34"/>
    <w:rsid w:val="00802751"/>
    <w:rsid w:val="00821811"/>
    <w:rsid w:val="00831ED9"/>
    <w:rsid w:val="0084331B"/>
    <w:rsid w:val="00862470"/>
    <w:rsid w:val="00891D66"/>
    <w:rsid w:val="009162A1"/>
    <w:rsid w:val="00953C0C"/>
    <w:rsid w:val="009B76E2"/>
    <w:rsid w:val="009F4C3D"/>
    <w:rsid w:val="00A15364"/>
    <w:rsid w:val="00A50B07"/>
    <w:rsid w:val="00AC5F27"/>
    <w:rsid w:val="00B52314"/>
    <w:rsid w:val="00B75ADD"/>
    <w:rsid w:val="00BA3E7B"/>
    <w:rsid w:val="00BA4D14"/>
    <w:rsid w:val="00BB5C6E"/>
    <w:rsid w:val="00CE5BB9"/>
    <w:rsid w:val="00D8255C"/>
    <w:rsid w:val="00DB5504"/>
    <w:rsid w:val="00DC3AC7"/>
    <w:rsid w:val="00DC606C"/>
    <w:rsid w:val="00DC70EC"/>
    <w:rsid w:val="00DD3273"/>
    <w:rsid w:val="00DE43EB"/>
    <w:rsid w:val="00E07CD6"/>
    <w:rsid w:val="00E1112E"/>
    <w:rsid w:val="00F56E89"/>
    <w:rsid w:val="00F6157E"/>
    <w:rsid w:val="00F61E3C"/>
    <w:rsid w:val="00FB0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786C"/>
  <w15:docId w15:val="{0A6C2F2B-7994-4F06-93A2-4D8C3AAF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11"/>
  </w:style>
  <w:style w:type="paragraph" w:styleId="Heading3">
    <w:name w:val="heading 3"/>
    <w:basedOn w:val="Normal"/>
    <w:next w:val="Normal"/>
    <w:link w:val="Heading3Char"/>
    <w:uiPriority w:val="9"/>
    <w:qFormat/>
    <w:rsid w:val="00802751"/>
    <w:pPr>
      <w:keepNext/>
      <w:spacing w:before="240" w:after="60" w:line="240" w:lineRule="auto"/>
      <w:outlineLvl w:val="2"/>
    </w:pPr>
    <w:rPr>
      <w:rFonts w:ascii="Cambria" w:eastAsiaTheme="majorEastAsia" w:hAnsi="Cambria" w:cstheme="majorBidi"/>
      <w:b/>
      <w:bCs/>
      <w:sz w:val="26"/>
      <w:szCs w:val="26"/>
    </w:rPr>
  </w:style>
  <w:style w:type="paragraph" w:styleId="Heading9">
    <w:name w:val="heading 9"/>
    <w:basedOn w:val="Normal"/>
    <w:next w:val="Normal"/>
    <w:link w:val="Heading9Char"/>
    <w:uiPriority w:val="9"/>
    <w:semiHidden/>
    <w:unhideWhenUsed/>
    <w:qFormat/>
    <w:rsid w:val="000034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inispavadinimas">
    <w:name w:val="• Titulinis pavadinimas"/>
    <w:next w:val="Normal"/>
    <w:link w:val="TitulinispavadinimasChar"/>
    <w:qFormat/>
    <w:rsid w:val="00E07CD6"/>
    <w:pPr>
      <w:spacing w:before="3120" w:after="0" w:line="240" w:lineRule="auto"/>
      <w:ind w:left="2693"/>
    </w:pPr>
    <w:rPr>
      <w:rFonts w:asciiTheme="majorHAnsi" w:eastAsia="Times New Roman" w:hAnsiTheme="majorHAnsi" w:cs="Times New Roman"/>
      <w:bCs/>
      <w:color w:val="00478A"/>
      <w:sz w:val="60"/>
      <w:szCs w:val="60"/>
      <w:lang w:eastAsia="lt-LT"/>
    </w:rPr>
  </w:style>
  <w:style w:type="character" w:customStyle="1" w:styleId="TitulinispavadinimasChar">
    <w:name w:val="• Titulinis pavadinimas Char"/>
    <w:basedOn w:val="DefaultParagraphFont"/>
    <w:link w:val="Titulinispavadinimas"/>
    <w:rsid w:val="00E07CD6"/>
    <w:rPr>
      <w:rFonts w:asciiTheme="majorHAnsi" w:eastAsia="Times New Roman" w:hAnsiTheme="majorHAnsi" w:cs="Times New Roman"/>
      <w:bCs/>
      <w:color w:val="00478A"/>
      <w:sz w:val="60"/>
      <w:szCs w:val="60"/>
      <w:lang w:eastAsia="lt-LT"/>
    </w:rPr>
  </w:style>
  <w:style w:type="paragraph" w:styleId="BodyText">
    <w:name w:val="Body Text"/>
    <w:basedOn w:val="Normal"/>
    <w:link w:val="BodyTextChar"/>
    <w:unhideWhenUsed/>
    <w:qFormat/>
    <w:rsid w:val="00E07CD6"/>
    <w:pPr>
      <w:spacing w:after="240" w:line="240" w:lineRule="atLeast"/>
    </w:pPr>
    <w:rPr>
      <w:rFonts w:ascii="Georgia" w:eastAsia="MS Mincho" w:hAnsi="Georgia" w:cs="Times New Roman"/>
      <w:sz w:val="20"/>
      <w:szCs w:val="20"/>
      <w:lang w:val="en-GB" w:eastAsia="lt-LT"/>
    </w:rPr>
  </w:style>
  <w:style w:type="character" w:customStyle="1" w:styleId="BodyTextChar">
    <w:name w:val="Body Text Char"/>
    <w:basedOn w:val="DefaultParagraphFont"/>
    <w:link w:val="BodyText"/>
    <w:rsid w:val="00E07CD6"/>
    <w:rPr>
      <w:rFonts w:ascii="Georgia" w:eastAsia="MS Mincho" w:hAnsi="Georgia" w:cs="Times New Roman"/>
      <w:sz w:val="20"/>
      <w:szCs w:val="20"/>
      <w:lang w:val="en-GB" w:eastAsia="lt-LT"/>
    </w:rPr>
  </w:style>
  <w:style w:type="paragraph" w:customStyle="1" w:styleId="Text">
    <w:name w:val="Text"/>
    <w:basedOn w:val="Normal"/>
    <w:link w:val="TextChar"/>
    <w:qFormat/>
    <w:rsid w:val="00E07CD6"/>
    <w:pPr>
      <w:tabs>
        <w:tab w:val="left" w:pos="9600"/>
      </w:tabs>
      <w:spacing w:after="240"/>
      <w:ind w:left="505" w:right="74"/>
      <w:jc w:val="both"/>
    </w:pPr>
    <w:rPr>
      <w:rFonts w:ascii="Cambria" w:eastAsia="Times New Roman" w:hAnsi="Cambria" w:cs="Times New Roman"/>
      <w:noProof/>
      <w:sz w:val="24"/>
      <w:lang w:eastAsia="lt-LT"/>
    </w:rPr>
  </w:style>
  <w:style w:type="character" w:customStyle="1" w:styleId="TextChar">
    <w:name w:val="Text Char"/>
    <w:link w:val="Text"/>
    <w:rsid w:val="00E07CD6"/>
    <w:rPr>
      <w:rFonts w:ascii="Cambria" w:eastAsia="Times New Roman" w:hAnsi="Cambria" w:cs="Times New Roman"/>
      <w:noProof/>
      <w:sz w:val="24"/>
      <w:lang w:eastAsia="lt-LT"/>
    </w:rPr>
  </w:style>
  <w:style w:type="paragraph" w:customStyle="1" w:styleId="Pagrindinispaprastastekstas">
    <w:name w:val="• Pagrindinis paprastas tekstas"/>
    <w:basedOn w:val="Normal"/>
    <w:link w:val="PagrindinispaprastastekstasChar"/>
    <w:qFormat/>
    <w:rsid w:val="00E07CD6"/>
    <w:pPr>
      <w:spacing w:after="0" w:line="240" w:lineRule="auto"/>
      <w:jc w:val="both"/>
    </w:pPr>
    <w:rPr>
      <w:rFonts w:ascii="Cambria" w:eastAsia="Times New Roman" w:hAnsi="Cambria" w:cs="Times New Roman"/>
      <w:sz w:val="20"/>
      <w:szCs w:val="24"/>
      <w:lang w:eastAsia="lt-LT"/>
    </w:rPr>
  </w:style>
  <w:style w:type="character" w:customStyle="1" w:styleId="PagrindinispaprastastekstasChar">
    <w:name w:val="• Pagrindinis paprastas tekstas Char"/>
    <w:link w:val="Pagrindinispaprastastekstas"/>
    <w:rsid w:val="00E07CD6"/>
    <w:rPr>
      <w:rFonts w:ascii="Cambria" w:eastAsia="Times New Roman" w:hAnsi="Cambria" w:cs="Times New Roman"/>
      <w:sz w:val="20"/>
      <w:szCs w:val="24"/>
      <w:lang w:eastAsia="lt-LT"/>
    </w:rPr>
  </w:style>
  <w:style w:type="paragraph" w:styleId="ListParagraph">
    <w:name w:val="List Paragraph"/>
    <w:aliases w:val="Table of contents numbered,List Paragraph Red,List Paragraph21,Lentele,ERP-List Paragraph,List Paragraph1,List Paragraph11,Bullet EY,List Paragraph2,Bullet,List Paragraph3,Numbering,Sąrašo pastraipa1,Sąrašo pastraipa.Bullet,lp1,Buletai"/>
    <w:basedOn w:val="Normal"/>
    <w:link w:val="ListParagraphChar"/>
    <w:uiPriority w:val="34"/>
    <w:qFormat/>
    <w:rsid w:val="00BB5C6E"/>
    <w:pPr>
      <w:ind w:left="720"/>
      <w:contextualSpacing/>
    </w:pPr>
  </w:style>
  <w:style w:type="character" w:customStyle="1" w:styleId="Heading3Char">
    <w:name w:val="Heading 3 Char"/>
    <w:basedOn w:val="DefaultParagraphFont"/>
    <w:link w:val="Heading3"/>
    <w:uiPriority w:val="99"/>
    <w:rsid w:val="00802751"/>
    <w:rPr>
      <w:rFonts w:ascii="Cambria" w:eastAsiaTheme="majorEastAsia" w:hAnsi="Cambria" w:cstheme="majorBidi"/>
      <w:b/>
      <w:bCs/>
      <w:sz w:val="26"/>
      <w:szCs w:val="26"/>
    </w:rPr>
  </w:style>
  <w:style w:type="paragraph" w:customStyle="1" w:styleId="Titulinionuoroda">
    <w:name w:val="• Titulinio nuoroda"/>
    <w:basedOn w:val="Normal"/>
    <w:qFormat/>
    <w:rsid w:val="00802751"/>
    <w:pPr>
      <w:spacing w:after="0" w:line="240" w:lineRule="auto"/>
      <w:ind w:left="2694"/>
      <w:jc w:val="both"/>
    </w:pPr>
    <w:rPr>
      <w:rFonts w:asciiTheme="majorHAnsi" w:eastAsia="Times New Roman" w:hAnsiTheme="majorHAnsi" w:cs="Times New Roman"/>
      <w:bCs/>
      <w:sz w:val="20"/>
      <w:szCs w:val="20"/>
    </w:rPr>
  </w:style>
  <w:style w:type="paragraph" w:customStyle="1" w:styleId="Antrastes1">
    <w:name w:val="• Antrastes_1"/>
    <w:basedOn w:val="Normal"/>
    <w:next w:val="Pagrindinispaprastastekstas"/>
    <w:uiPriority w:val="99"/>
    <w:rsid w:val="00B52314"/>
    <w:pPr>
      <w:pageBreakBefore/>
      <w:widowControl w:val="0"/>
      <w:numPr>
        <w:numId w:val="9"/>
      </w:numPr>
      <w:pBdr>
        <w:bottom w:val="single" w:sz="8" w:space="1" w:color="4181B6"/>
      </w:pBdr>
      <w:spacing w:before="120" w:after="240" w:line="240" w:lineRule="auto"/>
      <w:outlineLvl w:val="0"/>
    </w:pPr>
    <w:rPr>
      <w:rFonts w:ascii="Cambria" w:eastAsia="Times New Roman" w:hAnsi="Cambria" w:cs="Cambria"/>
      <w:b/>
      <w:bCs/>
      <w:caps/>
      <w:color w:val="4181B6"/>
      <w:kern w:val="32"/>
      <w:sz w:val="32"/>
      <w:szCs w:val="32"/>
      <w:lang w:eastAsia="lt-LT"/>
    </w:rPr>
  </w:style>
  <w:style w:type="character" w:customStyle="1" w:styleId="ListParagraphChar">
    <w:name w:val="List Paragraph Char"/>
    <w:aliases w:val="Table of contents numbered Char,List Paragraph Red Char,List Paragraph21 Char,Lentele Char,ERP-List Paragraph Char,List Paragraph1 Char,List Paragraph11 Char,Bullet EY Char,List Paragraph2 Char,Bullet Char,List Paragraph3 Char"/>
    <w:link w:val="ListParagraph"/>
    <w:uiPriority w:val="34"/>
    <w:qFormat/>
    <w:locked/>
    <w:rsid w:val="00B75ADD"/>
  </w:style>
  <w:style w:type="paragraph" w:customStyle="1" w:styleId="Tituliniodata">
    <w:name w:val="• Titulinio data"/>
    <w:qFormat/>
    <w:rsid w:val="00307524"/>
    <w:pPr>
      <w:spacing w:after="0" w:line="240" w:lineRule="auto"/>
      <w:ind w:left="2694"/>
    </w:pPr>
    <w:rPr>
      <w:rFonts w:asciiTheme="majorHAnsi" w:eastAsia="Times New Roman" w:hAnsiTheme="majorHAnsi" w:cs="Times New Roman"/>
      <w:sz w:val="24"/>
      <w:szCs w:val="24"/>
    </w:rPr>
  </w:style>
  <w:style w:type="paragraph" w:styleId="NormalWeb">
    <w:name w:val="Normal (Web)"/>
    <w:basedOn w:val="Normal"/>
    <w:uiPriority w:val="99"/>
    <w:unhideWhenUsed/>
    <w:rsid w:val="0030752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9Char">
    <w:name w:val="Heading 9 Char"/>
    <w:basedOn w:val="DefaultParagraphFont"/>
    <w:link w:val="Heading9"/>
    <w:rsid w:val="00003415"/>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115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1FD"/>
    <w:rPr>
      <w:sz w:val="20"/>
      <w:szCs w:val="20"/>
    </w:rPr>
  </w:style>
  <w:style w:type="character" w:styleId="FootnoteReference">
    <w:name w:val="footnote reference"/>
    <w:aliases w:val="• Isnasos nuoroda,Footnote symbol,Nota,Footnote number,de nota al pie,Ref,SUPERS,Voetnootmarkering,Char1,fr,o,(NECG) Footnote Reference,-E Fußnotenzeichen,ESPON Footnote No,Footnote call,Odwołanie przypisu,Footnote Reference Number"/>
    <w:basedOn w:val="DefaultParagraphFont"/>
    <w:uiPriority w:val="99"/>
    <w:qFormat/>
    <w:rsid w:val="001151FD"/>
    <w:rPr>
      <w:rFonts w:asciiTheme="majorHAnsi" w:hAnsiTheme="majorHAnsi"/>
      <w:dstrike w:val="0"/>
      <w:sz w:val="22"/>
      <w:vertAlign w:val="superscrip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2415">
      <w:bodyDiv w:val="1"/>
      <w:marLeft w:val="0"/>
      <w:marRight w:val="0"/>
      <w:marTop w:val="0"/>
      <w:marBottom w:val="0"/>
      <w:divBdr>
        <w:top w:val="none" w:sz="0" w:space="0" w:color="auto"/>
        <w:left w:val="none" w:sz="0" w:space="0" w:color="auto"/>
        <w:bottom w:val="none" w:sz="0" w:space="0" w:color="auto"/>
        <w:right w:val="none" w:sz="0" w:space="0" w:color="auto"/>
      </w:divBdr>
    </w:div>
    <w:div w:id="610280779">
      <w:bodyDiv w:val="1"/>
      <w:marLeft w:val="0"/>
      <w:marRight w:val="0"/>
      <w:marTop w:val="0"/>
      <w:marBottom w:val="0"/>
      <w:divBdr>
        <w:top w:val="none" w:sz="0" w:space="0" w:color="auto"/>
        <w:left w:val="none" w:sz="0" w:space="0" w:color="auto"/>
        <w:bottom w:val="none" w:sz="0" w:space="0" w:color="auto"/>
        <w:right w:val="none" w:sz="0" w:space="0" w:color="auto"/>
      </w:divBdr>
    </w:div>
    <w:div w:id="1017345796">
      <w:bodyDiv w:val="1"/>
      <w:marLeft w:val="0"/>
      <w:marRight w:val="0"/>
      <w:marTop w:val="0"/>
      <w:marBottom w:val="0"/>
      <w:divBdr>
        <w:top w:val="none" w:sz="0" w:space="0" w:color="auto"/>
        <w:left w:val="none" w:sz="0" w:space="0" w:color="auto"/>
        <w:bottom w:val="none" w:sz="0" w:space="0" w:color="auto"/>
        <w:right w:val="none" w:sz="0" w:space="0" w:color="auto"/>
      </w:divBdr>
    </w:div>
    <w:div w:id="1389763644">
      <w:bodyDiv w:val="1"/>
      <w:marLeft w:val="0"/>
      <w:marRight w:val="0"/>
      <w:marTop w:val="0"/>
      <w:marBottom w:val="0"/>
      <w:divBdr>
        <w:top w:val="none" w:sz="0" w:space="0" w:color="auto"/>
        <w:left w:val="none" w:sz="0" w:space="0" w:color="auto"/>
        <w:bottom w:val="none" w:sz="0" w:space="0" w:color="auto"/>
        <w:right w:val="none" w:sz="0" w:space="0" w:color="auto"/>
      </w:divBdr>
    </w:div>
    <w:div w:id="196916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E7C7B-467B-46B2-823C-AECFC8D5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9910</Words>
  <Characters>5650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paulius.urbonas</dc:creator>
  <cp:lastModifiedBy>Agne</cp:lastModifiedBy>
  <cp:revision>5</cp:revision>
  <dcterms:created xsi:type="dcterms:W3CDTF">2019-06-04T14:07:00Z</dcterms:created>
  <dcterms:modified xsi:type="dcterms:W3CDTF">2019-06-05T16:48:00Z</dcterms:modified>
</cp:coreProperties>
</file>